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B8DE" w14:textId="77777777" w:rsidR="00D305F5" w:rsidRDefault="00D305F5" w:rsidP="00D305F5">
      <w:pPr>
        <w:pStyle w:val="Heading3"/>
      </w:pPr>
      <w:r>
        <w:t xml:space="preserve">Emergency Community Support Fund (ECSF) </w:t>
      </w:r>
    </w:p>
    <w:p w14:paraId="3F822B03" w14:textId="05DF8983" w:rsidR="00D305F5" w:rsidRDefault="00D305F5" w:rsidP="00D305F5">
      <w:pPr>
        <w:pStyle w:val="Heading1"/>
        <w:rPr>
          <w:sz w:val="52"/>
          <w:szCs w:val="48"/>
        </w:rPr>
      </w:pPr>
      <w:r>
        <w:t xml:space="preserve">Guidelines for Community Service Organizations Seeking ECSF Funds from </w:t>
      </w:r>
      <w:r w:rsidR="00622E6F">
        <w:t xml:space="preserve">United Way for the City of Kawartha Lakes </w:t>
      </w:r>
    </w:p>
    <w:p w14:paraId="7FB8F06C" w14:textId="77777777" w:rsidR="00D305F5" w:rsidRDefault="00D305F5" w:rsidP="00D305F5">
      <w:pPr>
        <w:pStyle w:val="BodyText"/>
        <w:spacing w:after="0" w:line="240" w:lineRule="auto"/>
        <w:rPr>
          <w:rFonts w:ascii="Arial" w:hAnsi="Arial" w:cs="Arial"/>
          <w:b/>
        </w:rPr>
      </w:pPr>
    </w:p>
    <w:p w14:paraId="74EC535F" w14:textId="77777777" w:rsidR="00D305F5" w:rsidRDefault="00D305F5" w:rsidP="00D305F5">
      <w:pPr>
        <w:pStyle w:val="BodyText"/>
        <w:spacing w:after="0" w:line="240" w:lineRule="auto"/>
        <w:rPr>
          <w:rFonts w:ascii="Arial" w:hAnsi="Arial" w:cs="Arial"/>
          <w:b/>
        </w:rPr>
      </w:pPr>
    </w:p>
    <w:p w14:paraId="7C3BDBCA"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COVID-19 is top of mind for everyone and it is affecting the ways we support those who are vulnerable in our communities.  This pandemic has created an increase in demand for local services, shortages in supplies, and disruption in service.</w:t>
      </w:r>
    </w:p>
    <w:p w14:paraId="1F6BE107" w14:textId="77777777" w:rsidR="00D305F5" w:rsidRDefault="00D305F5" w:rsidP="00D305F5">
      <w:pPr>
        <w:spacing w:after="0" w:line="240" w:lineRule="auto"/>
        <w:rPr>
          <w:rFonts w:ascii="Arial" w:hAnsi="Arial" w:cs="Arial"/>
          <w:color w:val="000000"/>
          <w:sz w:val="24"/>
          <w:szCs w:val="24"/>
        </w:rPr>
      </w:pPr>
    </w:p>
    <w:p w14:paraId="08A47AC6"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The Emergency Community Support Fund (ECSF) is a $350 million investment made by the Government of Canada, through Employment and Social Development Canada (ESDC), to support vulnerable populations as they manage the impacts of COVID-19. </w:t>
      </w:r>
    </w:p>
    <w:p w14:paraId="2906BE5F" w14:textId="77777777" w:rsidR="00D305F5" w:rsidRDefault="00D305F5" w:rsidP="00D305F5">
      <w:pPr>
        <w:spacing w:after="0" w:line="240" w:lineRule="auto"/>
        <w:rPr>
          <w:rFonts w:ascii="Arial" w:hAnsi="Arial" w:cs="Arial"/>
          <w:color w:val="000000"/>
          <w:sz w:val="24"/>
          <w:szCs w:val="24"/>
        </w:rPr>
      </w:pPr>
    </w:p>
    <w:p w14:paraId="02C1FE15" w14:textId="608EE39D"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The Government of Canada has partnered with United Way Centraide Canada, Community Foundations Canada, and the Canadian Red Cross to distribute the Emergency Community Support Fund (ECSF) across the country.  United Way Centraides (UWCs) are working locally to support community service organizations to aid vulnerable populations impacted by the COVID-19 pandemic.  </w:t>
      </w:r>
    </w:p>
    <w:p w14:paraId="673D2E9D" w14:textId="77777777" w:rsidR="00D305F5" w:rsidRDefault="00D305F5" w:rsidP="00D305F5">
      <w:pPr>
        <w:spacing w:after="0" w:line="240" w:lineRule="auto"/>
        <w:rPr>
          <w:rFonts w:ascii="Arial" w:hAnsi="Arial" w:cs="Arial"/>
          <w:color w:val="000000"/>
          <w:sz w:val="24"/>
          <w:szCs w:val="24"/>
        </w:rPr>
      </w:pPr>
    </w:p>
    <w:p w14:paraId="313225B7" w14:textId="4E9E4D63"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This document summarizes guidelines for community service organizations seeking ECSF funds through</w:t>
      </w:r>
      <w:r w:rsidR="00622E6F">
        <w:rPr>
          <w:rFonts w:ascii="Arial" w:hAnsi="Arial" w:cs="Arial"/>
          <w:color w:val="000000"/>
          <w:sz w:val="24"/>
          <w:szCs w:val="24"/>
        </w:rPr>
        <w:t xml:space="preserve"> United Way for the City of Kawartha Lakes.</w:t>
      </w:r>
      <w:r>
        <w:rPr>
          <w:rFonts w:ascii="Arial" w:hAnsi="Arial" w:cs="Arial"/>
          <w:color w:val="000000"/>
          <w:sz w:val="24"/>
          <w:szCs w:val="24"/>
        </w:rPr>
        <w:t xml:space="preserve"> </w:t>
      </w:r>
    </w:p>
    <w:p w14:paraId="6BDD9E71" w14:textId="77777777" w:rsidR="00D305F5" w:rsidRDefault="00D305F5" w:rsidP="00D305F5">
      <w:pPr>
        <w:spacing w:after="0" w:line="240" w:lineRule="auto"/>
        <w:rPr>
          <w:rFonts w:ascii="Arial" w:hAnsi="Arial" w:cs="Arial"/>
          <w:color w:val="000000"/>
          <w:sz w:val="24"/>
          <w:szCs w:val="24"/>
        </w:rPr>
      </w:pPr>
    </w:p>
    <w:p w14:paraId="30144166"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141DB2B6" w14:textId="3A1F942C" w:rsidR="00D305F5" w:rsidRDefault="00D305F5" w:rsidP="00D305F5">
      <w:pPr>
        <w:pStyle w:val="Heading3"/>
        <w:rPr>
          <w:rFonts w:eastAsia="Calibri"/>
        </w:rPr>
      </w:pPr>
      <w:r>
        <w:rPr>
          <w:rFonts w:eastAsia="Calibri"/>
        </w:rPr>
        <w:t>Where Should Community Service Organizations Seek ECSF Funds?</w:t>
      </w:r>
    </w:p>
    <w:p w14:paraId="6884384B" w14:textId="33708D0F" w:rsidR="00BC4084" w:rsidRDefault="00BC4084" w:rsidP="00BC4084"/>
    <w:p w14:paraId="525D9CA0" w14:textId="77777777" w:rsidR="00D305F5" w:rsidRDefault="00D305F5" w:rsidP="00D305F5">
      <w:pPr>
        <w:spacing w:after="0" w:line="240" w:lineRule="auto"/>
        <w:rPr>
          <w:rFonts w:ascii="Arial" w:eastAsia="Calibri" w:hAnsi="Arial" w:cs="Arial"/>
          <w:color w:val="000000"/>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single" w:sz="4" w:space="0" w:color="DA291C" w:themeColor="accent1"/>
        </w:tblBorders>
        <w:tblLook w:val="04A0" w:firstRow="1" w:lastRow="0" w:firstColumn="1" w:lastColumn="0" w:noHBand="0" w:noVBand="1"/>
      </w:tblPr>
      <w:tblGrid>
        <w:gridCol w:w="2321"/>
        <w:gridCol w:w="2934"/>
        <w:gridCol w:w="4105"/>
      </w:tblGrid>
      <w:tr w:rsidR="00D305F5" w:rsidRPr="00BC4084" w14:paraId="2B0F6BD2" w14:textId="77777777" w:rsidTr="00D305F5">
        <w:tc>
          <w:tcPr>
            <w:tcW w:w="1667" w:type="pct"/>
            <w:vAlign w:val="center"/>
          </w:tcPr>
          <w:p w14:paraId="5D5F0AB6" w14:textId="3353B889" w:rsidR="00D305F5" w:rsidRPr="00BC4084" w:rsidRDefault="00EB1AD6" w:rsidP="00D305F5">
            <w:pPr>
              <w:jc w:val="center"/>
              <w:rPr>
                <w:rFonts w:ascii="Arial" w:hAnsi="Arial" w:cs="Arial"/>
                <w:b/>
                <w:bCs/>
                <w:color w:val="000000"/>
                <w:sz w:val="24"/>
                <w:szCs w:val="24"/>
                <w:highlight w:val="yellow"/>
              </w:rPr>
            </w:pPr>
            <w:hyperlink r:id="rId8" w:history="1">
              <w:r w:rsidR="00D305F5" w:rsidRPr="003E5F10">
                <w:rPr>
                  <w:rStyle w:val="Hyperlink"/>
                  <w:rFonts w:ascii="Arial" w:hAnsi="Arial" w:cs="Arial"/>
                  <w:b/>
                  <w:bCs/>
                  <w:sz w:val="24"/>
                  <w:szCs w:val="24"/>
                </w:rPr>
                <w:t>United Way Centraides</w:t>
              </w:r>
            </w:hyperlink>
          </w:p>
        </w:tc>
        <w:tc>
          <w:tcPr>
            <w:tcW w:w="1667" w:type="pct"/>
            <w:vAlign w:val="center"/>
            <w:hideMark/>
          </w:tcPr>
          <w:p w14:paraId="5E59BA6C" w14:textId="092429CD" w:rsidR="00D305F5" w:rsidRPr="00BC4084" w:rsidRDefault="00EB1AD6" w:rsidP="00D305F5">
            <w:pPr>
              <w:jc w:val="center"/>
              <w:rPr>
                <w:rFonts w:ascii="Arial" w:hAnsi="Arial" w:cs="Arial"/>
                <w:b/>
                <w:bCs/>
                <w:color w:val="000000"/>
                <w:sz w:val="24"/>
                <w:szCs w:val="24"/>
                <w:highlight w:val="yellow"/>
              </w:rPr>
            </w:pPr>
            <w:hyperlink r:id="rId9" w:history="1">
              <w:r w:rsidR="00D305F5" w:rsidRPr="003E5F10">
                <w:rPr>
                  <w:rStyle w:val="Hyperlink"/>
                  <w:rFonts w:ascii="Arial" w:hAnsi="Arial" w:cs="Arial"/>
                  <w:b/>
                  <w:bCs/>
                  <w:sz w:val="24"/>
                  <w:szCs w:val="24"/>
                </w:rPr>
                <w:t>Community Foundations</w:t>
              </w:r>
            </w:hyperlink>
          </w:p>
        </w:tc>
        <w:tc>
          <w:tcPr>
            <w:tcW w:w="1667" w:type="pct"/>
            <w:vAlign w:val="center"/>
            <w:hideMark/>
          </w:tcPr>
          <w:p w14:paraId="6068AF06" w14:textId="4B6444F6" w:rsidR="00D305F5" w:rsidRPr="00BC4084" w:rsidRDefault="00EB1AD6" w:rsidP="00D305F5">
            <w:pPr>
              <w:jc w:val="center"/>
              <w:rPr>
                <w:rFonts w:ascii="Arial" w:hAnsi="Arial" w:cs="Arial"/>
                <w:b/>
                <w:bCs/>
                <w:color w:val="000000"/>
                <w:sz w:val="24"/>
                <w:szCs w:val="24"/>
                <w:highlight w:val="yellow"/>
              </w:rPr>
            </w:pPr>
            <w:hyperlink r:id="rId10" w:history="1">
              <w:r w:rsidR="00D305F5" w:rsidRPr="003E5F10">
                <w:rPr>
                  <w:rStyle w:val="Hyperlink"/>
                  <w:rFonts w:ascii="Arial" w:hAnsi="Arial" w:cs="Arial"/>
                  <w:b/>
                  <w:bCs/>
                  <w:sz w:val="24"/>
                  <w:szCs w:val="24"/>
                </w:rPr>
                <w:t>Canadian Red Cross</w:t>
              </w:r>
            </w:hyperlink>
          </w:p>
        </w:tc>
      </w:tr>
      <w:tr w:rsidR="00D305F5" w14:paraId="689451A6" w14:textId="77777777" w:rsidTr="00D305F5">
        <w:tc>
          <w:tcPr>
            <w:tcW w:w="1667" w:type="pct"/>
            <w:vAlign w:val="center"/>
          </w:tcPr>
          <w:p w14:paraId="09A82DAF" w14:textId="77777777" w:rsidR="00D305F5" w:rsidRPr="00BC4084" w:rsidRDefault="00D305F5" w:rsidP="00D305F5">
            <w:pPr>
              <w:jc w:val="center"/>
              <w:rPr>
                <w:rFonts w:ascii="Arial" w:hAnsi="Arial" w:cs="Arial"/>
                <w:color w:val="000000"/>
                <w:sz w:val="24"/>
                <w:szCs w:val="24"/>
                <w:highlight w:val="yellow"/>
              </w:rPr>
            </w:pPr>
          </w:p>
          <w:p w14:paraId="3B3DB0E5" w14:textId="2A0BB35F" w:rsidR="00D305F5" w:rsidRDefault="00D305F5" w:rsidP="00D305F5">
            <w:pPr>
              <w:jc w:val="center"/>
              <w:rPr>
                <w:rFonts w:ascii="Arial" w:hAnsi="Arial" w:cs="Arial"/>
                <w:color w:val="000000"/>
                <w:sz w:val="24"/>
                <w:szCs w:val="24"/>
                <w:highlight w:val="yellow"/>
              </w:rPr>
            </w:pPr>
            <w:r w:rsidRPr="003E5F10">
              <w:rPr>
                <w:rFonts w:ascii="Arial" w:hAnsi="Arial" w:cs="Arial"/>
                <w:color w:val="000000"/>
                <w:sz w:val="24"/>
                <w:szCs w:val="24"/>
              </w:rPr>
              <w:t xml:space="preserve">Local United Way Centraides will manage ECSF processes for charities and other qualified </w:t>
            </w:r>
            <w:proofErr w:type="spellStart"/>
            <w:r w:rsidRPr="003E5F10">
              <w:rPr>
                <w:rFonts w:ascii="Arial" w:hAnsi="Arial" w:cs="Arial"/>
                <w:color w:val="000000"/>
                <w:sz w:val="24"/>
                <w:szCs w:val="24"/>
              </w:rPr>
              <w:t>donees</w:t>
            </w:r>
            <w:proofErr w:type="spellEnd"/>
            <w:r w:rsidRPr="003E5F10">
              <w:rPr>
                <w:rFonts w:ascii="Arial" w:hAnsi="Arial" w:cs="Arial"/>
                <w:color w:val="000000"/>
                <w:sz w:val="24"/>
                <w:szCs w:val="24"/>
              </w:rPr>
              <w:t xml:space="preserve">, </w:t>
            </w:r>
          </w:p>
          <w:p w14:paraId="00DAF6D8" w14:textId="568786B1" w:rsidR="008E1D33" w:rsidRDefault="00CF31EB" w:rsidP="00D305F5">
            <w:pPr>
              <w:jc w:val="center"/>
              <w:rPr>
                <w:rFonts w:ascii="Arial" w:hAnsi="Arial" w:cs="Arial"/>
                <w:color w:val="000000"/>
                <w:sz w:val="24"/>
                <w:szCs w:val="24"/>
              </w:rPr>
            </w:pPr>
            <w:hyperlink r:id="rId11" w:history="1">
              <w:r w:rsidRPr="00C133A8">
                <w:rPr>
                  <w:rStyle w:val="Hyperlink"/>
                  <w:rFonts w:ascii="Arial" w:hAnsi="Arial" w:cs="Arial"/>
                  <w:sz w:val="24"/>
                  <w:szCs w:val="24"/>
                </w:rPr>
                <w:t>http://ckl-unitedway.ca/covid-19/</w:t>
              </w:r>
            </w:hyperlink>
          </w:p>
          <w:p w14:paraId="13ED569D" w14:textId="1DA29280" w:rsidR="00CF31EB" w:rsidRPr="00BC4084" w:rsidRDefault="00CF31EB" w:rsidP="00D305F5">
            <w:pPr>
              <w:jc w:val="center"/>
              <w:rPr>
                <w:rFonts w:ascii="Arial" w:hAnsi="Arial" w:cs="Arial"/>
                <w:color w:val="000000"/>
                <w:sz w:val="24"/>
                <w:szCs w:val="24"/>
                <w:highlight w:val="yellow"/>
              </w:rPr>
            </w:pPr>
          </w:p>
        </w:tc>
        <w:tc>
          <w:tcPr>
            <w:tcW w:w="1667" w:type="pct"/>
            <w:vAlign w:val="center"/>
          </w:tcPr>
          <w:p w14:paraId="132075D1" w14:textId="77777777" w:rsidR="00D305F5" w:rsidRPr="003E5F10" w:rsidRDefault="00D305F5" w:rsidP="00D305F5">
            <w:pPr>
              <w:jc w:val="center"/>
              <w:rPr>
                <w:rFonts w:ascii="Arial" w:hAnsi="Arial" w:cs="Arial"/>
                <w:color w:val="000000"/>
                <w:sz w:val="24"/>
                <w:szCs w:val="24"/>
              </w:rPr>
            </w:pPr>
          </w:p>
          <w:p w14:paraId="50F56D0B" w14:textId="77777777" w:rsidR="00D305F5" w:rsidRDefault="00D305F5" w:rsidP="00D305F5">
            <w:pPr>
              <w:jc w:val="center"/>
              <w:rPr>
                <w:rFonts w:ascii="Arial" w:hAnsi="Arial" w:cs="Arial"/>
                <w:color w:val="000000"/>
                <w:sz w:val="24"/>
                <w:szCs w:val="24"/>
              </w:rPr>
            </w:pPr>
            <w:r w:rsidRPr="003E5F10">
              <w:rPr>
                <w:rFonts w:ascii="Arial" w:hAnsi="Arial" w:cs="Arial"/>
                <w:color w:val="000000"/>
                <w:sz w:val="24"/>
                <w:szCs w:val="24"/>
              </w:rPr>
              <w:t xml:space="preserve">A network of community foundations across Canada will accept funding applications from qualified </w:t>
            </w:r>
            <w:proofErr w:type="spellStart"/>
            <w:r w:rsidRPr="003E5F10">
              <w:rPr>
                <w:rFonts w:ascii="Arial" w:hAnsi="Arial" w:cs="Arial"/>
                <w:color w:val="000000"/>
                <w:sz w:val="24"/>
                <w:szCs w:val="24"/>
              </w:rPr>
              <w:t>donees</w:t>
            </w:r>
            <w:proofErr w:type="spellEnd"/>
            <w:r w:rsidRPr="003E5F10">
              <w:rPr>
                <w:rFonts w:ascii="Arial" w:hAnsi="Arial" w:cs="Arial"/>
                <w:color w:val="000000"/>
                <w:sz w:val="24"/>
                <w:szCs w:val="24"/>
              </w:rPr>
              <w:t>.</w:t>
            </w:r>
          </w:p>
          <w:p w14:paraId="5F548FEA" w14:textId="5CB2A74B" w:rsidR="008E1D33" w:rsidRPr="003E5F10" w:rsidRDefault="00EB1AD6" w:rsidP="003E5F10">
            <w:pPr>
              <w:rPr>
                <w:rFonts w:ascii="Arial" w:hAnsi="Arial" w:cs="Arial"/>
                <w:color w:val="000000"/>
                <w:sz w:val="24"/>
                <w:szCs w:val="24"/>
              </w:rPr>
            </w:pPr>
            <w:hyperlink r:id="rId12" w:history="1">
              <w:r w:rsidR="008E1D33" w:rsidRPr="00621F46">
                <w:rPr>
                  <w:rStyle w:val="Hyperlink"/>
                  <w:rFonts w:ascii="Arial" w:hAnsi="Arial" w:cs="Arial"/>
                  <w:sz w:val="24"/>
                  <w:szCs w:val="24"/>
                </w:rPr>
                <w:t>communityfoundations.ca</w:t>
              </w:r>
            </w:hyperlink>
            <w:r w:rsidR="008E1D33">
              <w:rPr>
                <w:rFonts w:ascii="Arial" w:hAnsi="Arial" w:cs="Arial"/>
                <w:color w:val="000000"/>
                <w:sz w:val="24"/>
                <w:szCs w:val="24"/>
              </w:rPr>
              <w:t xml:space="preserve"> </w:t>
            </w:r>
          </w:p>
        </w:tc>
        <w:tc>
          <w:tcPr>
            <w:tcW w:w="1667" w:type="pct"/>
            <w:vAlign w:val="center"/>
          </w:tcPr>
          <w:p w14:paraId="4A21FEAA" w14:textId="77777777" w:rsidR="00D305F5" w:rsidRPr="00BC4084" w:rsidRDefault="00D305F5" w:rsidP="00D305F5">
            <w:pPr>
              <w:jc w:val="center"/>
              <w:rPr>
                <w:rFonts w:ascii="Arial" w:hAnsi="Arial" w:cs="Arial"/>
                <w:color w:val="000000"/>
                <w:sz w:val="24"/>
                <w:szCs w:val="24"/>
                <w:highlight w:val="yellow"/>
              </w:rPr>
            </w:pPr>
          </w:p>
          <w:p w14:paraId="46D673C4" w14:textId="0D2F8F35" w:rsidR="00D305F5" w:rsidRDefault="00D305F5" w:rsidP="00D305F5">
            <w:pPr>
              <w:jc w:val="center"/>
              <w:rPr>
                <w:rFonts w:ascii="Arial" w:hAnsi="Arial" w:cs="Arial"/>
                <w:color w:val="000000"/>
                <w:sz w:val="24"/>
                <w:szCs w:val="24"/>
              </w:rPr>
            </w:pPr>
            <w:r w:rsidRPr="003E5F10">
              <w:rPr>
                <w:rFonts w:ascii="Arial" w:hAnsi="Arial" w:cs="Arial"/>
                <w:color w:val="000000"/>
                <w:sz w:val="24"/>
                <w:szCs w:val="24"/>
              </w:rPr>
              <w:t xml:space="preserve">National, regional and local partners will manage a granting stream for nonprofits. Canadian Red Cross will also manage a </w:t>
            </w:r>
            <w:r w:rsidR="008E68E0" w:rsidRPr="003E5F10">
              <w:rPr>
                <w:rFonts w:ascii="Arial" w:hAnsi="Arial" w:cs="Arial"/>
                <w:color w:val="000000"/>
                <w:sz w:val="24"/>
                <w:szCs w:val="24"/>
              </w:rPr>
              <w:t>Preventing Disease Transmission Training &amp; Equipment Program.</w:t>
            </w:r>
          </w:p>
          <w:p w14:paraId="1D5861B8" w14:textId="39580F87" w:rsidR="008E1D33" w:rsidRDefault="00EB1AD6" w:rsidP="00D305F5">
            <w:pPr>
              <w:jc w:val="center"/>
              <w:rPr>
                <w:rFonts w:ascii="Arial" w:hAnsi="Arial" w:cs="Arial"/>
                <w:color w:val="000000"/>
                <w:sz w:val="24"/>
                <w:szCs w:val="24"/>
              </w:rPr>
            </w:pPr>
            <w:hyperlink r:id="rId13" w:history="1">
              <w:r w:rsidR="008E1D33" w:rsidRPr="00621F46">
                <w:rPr>
                  <w:rStyle w:val="Hyperlink"/>
                  <w:rFonts w:ascii="Arial" w:hAnsi="Arial" w:cs="Arial"/>
                  <w:sz w:val="24"/>
                  <w:szCs w:val="24"/>
                </w:rPr>
                <w:t>redcross.ca/</w:t>
              </w:r>
              <w:proofErr w:type="spellStart"/>
              <w:r w:rsidR="008E1D33" w:rsidRPr="00621F46">
                <w:rPr>
                  <w:rStyle w:val="Hyperlink"/>
                  <w:rFonts w:ascii="Arial" w:hAnsi="Arial" w:cs="Arial"/>
                  <w:sz w:val="24"/>
                  <w:szCs w:val="24"/>
                </w:rPr>
                <w:t>communityorganizations</w:t>
              </w:r>
              <w:proofErr w:type="spellEnd"/>
            </w:hyperlink>
          </w:p>
          <w:p w14:paraId="79951D5C" w14:textId="00321B92" w:rsidR="008E1D33" w:rsidRDefault="008E1D33" w:rsidP="00D305F5">
            <w:pPr>
              <w:jc w:val="center"/>
              <w:rPr>
                <w:rFonts w:ascii="Arial" w:hAnsi="Arial" w:cs="Arial"/>
                <w:color w:val="000000"/>
                <w:sz w:val="24"/>
                <w:szCs w:val="24"/>
              </w:rPr>
            </w:pPr>
          </w:p>
        </w:tc>
      </w:tr>
    </w:tbl>
    <w:p w14:paraId="1D0D37A1" w14:textId="77777777" w:rsidR="00D305F5" w:rsidRDefault="00D305F5" w:rsidP="00D305F5">
      <w:pPr>
        <w:spacing w:after="0" w:line="240" w:lineRule="auto"/>
        <w:rPr>
          <w:rFonts w:ascii="Arial" w:hAnsi="Arial" w:cs="Arial"/>
          <w:color w:val="000000"/>
          <w:sz w:val="24"/>
          <w:szCs w:val="24"/>
        </w:rPr>
      </w:pPr>
    </w:p>
    <w:p w14:paraId="0D2C99E0" w14:textId="7FE5487B" w:rsidR="00D305F5" w:rsidRDefault="00BC4084" w:rsidP="00D305F5">
      <w:pPr>
        <w:pStyle w:val="Heading3"/>
        <w:rPr>
          <w:rFonts w:ascii="Calibri Light" w:eastAsia="Calibri" w:hAnsi="Calibri Light" w:cs="Tahoma"/>
          <w:color w:val="2E74B5"/>
          <w:sz w:val="26"/>
          <w:szCs w:val="26"/>
        </w:rPr>
      </w:pPr>
      <w:r>
        <w:rPr>
          <w:rFonts w:eastAsia="Calibri"/>
        </w:rPr>
        <w:t xml:space="preserve">About our </w:t>
      </w:r>
      <w:r w:rsidR="00D305F5">
        <w:rPr>
          <w:rFonts w:eastAsia="Calibri"/>
        </w:rPr>
        <w:t xml:space="preserve">United Way </w:t>
      </w:r>
    </w:p>
    <w:p w14:paraId="0317D3EF" w14:textId="77777777" w:rsidR="00D305F5" w:rsidRDefault="00D305F5" w:rsidP="00D305F5">
      <w:pPr>
        <w:spacing w:after="0" w:line="240" w:lineRule="auto"/>
        <w:rPr>
          <w:rFonts w:ascii="Arial" w:eastAsia="Calibri" w:hAnsi="Arial" w:cs="Arial"/>
          <w:color w:val="000000"/>
          <w:sz w:val="24"/>
          <w:szCs w:val="24"/>
        </w:rPr>
      </w:pPr>
    </w:p>
    <w:p w14:paraId="6EC1EB30" w14:textId="32ACC011" w:rsid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The mission of the United Way for the City of Kawartha Lakes is to improve lives and build community by engaging individuals and mobilizing collective action. The United Way of CKL strives to increase capacity building for community impacts. Education, resources, networking and partnerships are key components in community building. United Way has the ability to direct funds to specific projects and geographic locations and these designated investments are transparent and accountable. Empowering people in our community is paramount to positive outcomes for our United Way and citizens. To accomplish this we focus on three priority areas: </w:t>
      </w:r>
    </w:p>
    <w:p w14:paraId="2851238B" w14:textId="77777777" w:rsidR="00622E6F" w:rsidRPr="00622E6F" w:rsidRDefault="00622E6F" w:rsidP="00622E6F"/>
    <w:p w14:paraId="2068773E"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Poverty to Possibility: moving people out of poverty, meeting basic human needs (food, shelter and employment)</w:t>
      </w:r>
    </w:p>
    <w:p w14:paraId="62B34117" w14:textId="49974582"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 All That Kids Can </w:t>
      </w:r>
      <w:proofErr w:type="gramStart"/>
      <w:r w:rsidRPr="00622E6F">
        <w:rPr>
          <w:rFonts w:ascii="Arial" w:eastAsiaTheme="minorEastAsia" w:hAnsi="Arial" w:cs="Arial"/>
          <w:color w:val="000000"/>
          <w:sz w:val="24"/>
          <w:szCs w:val="24"/>
        </w:rPr>
        <w:t>Be</w:t>
      </w:r>
      <w:proofErr w:type="gramEnd"/>
      <w:r w:rsidRPr="00622E6F">
        <w:rPr>
          <w:rFonts w:ascii="Arial" w:eastAsiaTheme="minorEastAsia" w:hAnsi="Arial" w:cs="Arial"/>
          <w:color w:val="000000"/>
          <w:sz w:val="24"/>
          <w:szCs w:val="24"/>
        </w:rPr>
        <w:t>: improving access to early childhood learning and development programs, helping kids do well at school and completing high school, making healthy tran</w:t>
      </w:r>
      <w:r w:rsidR="00CF31EB">
        <w:rPr>
          <w:rFonts w:ascii="Arial" w:eastAsiaTheme="minorEastAsia" w:hAnsi="Arial" w:cs="Arial"/>
          <w:color w:val="000000"/>
          <w:sz w:val="24"/>
          <w:szCs w:val="24"/>
        </w:rPr>
        <w:t>sitions into adulthood and post-</w:t>
      </w:r>
      <w:r w:rsidRPr="00622E6F">
        <w:rPr>
          <w:rFonts w:ascii="Arial" w:eastAsiaTheme="minorEastAsia" w:hAnsi="Arial" w:cs="Arial"/>
          <w:color w:val="000000"/>
          <w:sz w:val="24"/>
          <w:szCs w:val="24"/>
        </w:rPr>
        <w:t>secondary education</w:t>
      </w:r>
    </w:p>
    <w:p w14:paraId="11D4F8B5"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Healthy People, Strong Communities: improving access to social and health related support services, supporting citizens and community engagement, supporting all citizens through opportunities and hope; independent living, intervention and prevention.</w:t>
      </w:r>
    </w:p>
    <w:p w14:paraId="3255FA11" w14:textId="77777777" w:rsidR="00622E6F" w:rsidRPr="00622E6F" w:rsidRDefault="00622E6F" w:rsidP="00622E6F">
      <w:pPr>
        <w:pStyle w:val="Heading2"/>
        <w:rPr>
          <w:rFonts w:ascii="Arial" w:eastAsiaTheme="minorEastAsia" w:hAnsi="Arial" w:cs="Arial"/>
          <w:color w:val="000000"/>
          <w:sz w:val="24"/>
          <w:szCs w:val="24"/>
        </w:rPr>
      </w:pPr>
    </w:p>
    <w:p w14:paraId="27672E80"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To do this, we aim to: </w:t>
      </w:r>
    </w:p>
    <w:p w14:paraId="3C6FB38D"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•Energize and inspire people to make a difference. </w:t>
      </w:r>
    </w:p>
    <w:p w14:paraId="2447F3E7"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•Provide meaningful opportunities for individuals to realize their potential by demonstrating volunteer leadership in service to community.</w:t>
      </w:r>
    </w:p>
    <w:p w14:paraId="7764A9ED"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•Reflect the diversity of the communities we serve. </w:t>
      </w:r>
    </w:p>
    <w:p w14:paraId="6BD7CE19"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•Craft human care agendas within and across our communities.</w:t>
      </w:r>
    </w:p>
    <w:p w14:paraId="510A8F97"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•Build coalitions around these agendas. </w:t>
      </w:r>
    </w:p>
    <w:p w14:paraId="1D336D19" w14:textId="77777777" w:rsidR="00622E6F" w:rsidRPr="00622E6F"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 xml:space="preserve">•Increase investments in these agendas by expanding and diversifying our own resource development and fundraising efforts along with supporting others. </w:t>
      </w:r>
    </w:p>
    <w:p w14:paraId="49F823D8" w14:textId="1ACCC882" w:rsidR="00D305F5" w:rsidRDefault="00622E6F" w:rsidP="00622E6F">
      <w:pPr>
        <w:pStyle w:val="Heading2"/>
        <w:rPr>
          <w:rFonts w:ascii="Arial" w:eastAsiaTheme="minorEastAsia" w:hAnsi="Arial" w:cs="Arial"/>
          <w:color w:val="000000"/>
          <w:sz w:val="24"/>
          <w:szCs w:val="24"/>
        </w:rPr>
      </w:pPr>
      <w:r w:rsidRPr="00622E6F">
        <w:rPr>
          <w:rFonts w:ascii="Arial" w:eastAsiaTheme="minorEastAsia" w:hAnsi="Arial" w:cs="Arial"/>
          <w:color w:val="000000"/>
          <w:sz w:val="24"/>
          <w:szCs w:val="24"/>
        </w:rPr>
        <w:t>•Ensure that these investments have recognizable impact.</w:t>
      </w:r>
    </w:p>
    <w:p w14:paraId="3D34EE74" w14:textId="77777777" w:rsidR="00622E6F" w:rsidRPr="00622E6F" w:rsidRDefault="00622E6F" w:rsidP="00622E6F"/>
    <w:p w14:paraId="4F83E1D2" w14:textId="77777777" w:rsidR="00D305F5" w:rsidRDefault="00D305F5" w:rsidP="00D305F5">
      <w:pPr>
        <w:pStyle w:val="Heading3"/>
        <w:rPr>
          <w:rFonts w:eastAsia="Calibri"/>
        </w:rPr>
      </w:pPr>
      <w:r>
        <w:rPr>
          <w:rFonts w:eastAsia="Calibri"/>
        </w:rPr>
        <w:t>Timelines</w:t>
      </w:r>
    </w:p>
    <w:p w14:paraId="117B12A7" w14:textId="77777777" w:rsidR="00D305F5" w:rsidRDefault="00D305F5" w:rsidP="00D305F5">
      <w:pPr>
        <w:spacing w:after="0" w:line="240" w:lineRule="auto"/>
        <w:rPr>
          <w:rFonts w:ascii="Arial" w:eastAsia="Calibri" w:hAnsi="Arial" w:cs="Arial"/>
          <w:color w:val="000000"/>
          <w:sz w:val="24"/>
          <w:szCs w:val="24"/>
        </w:rPr>
      </w:pPr>
    </w:p>
    <w:tbl>
      <w:tblPr>
        <w:tblStyle w:val="PlainTable2"/>
        <w:tblW w:w="4760" w:type="pct"/>
        <w:tblBorders>
          <w:top w:val="single" w:sz="4" w:space="0" w:color="DA291C" w:themeColor="accent1"/>
          <w:bottom w:val="single" w:sz="4" w:space="0" w:color="DA291C" w:themeColor="accent1"/>
          <w:insideH w:val="single" w:sz="4" w:space="0" w:color="DA291C" w:themeColor="accent1"/>
        </w:tblBorders>
        <w:tblLook w:val="04A0" w:firstRow="1" w:lastRow="0" w:firstColumn="1" w:lastColumn="0" w:noHBand="0" w:noVBand="1"/>
      </w:tblPr>
      <w:tblGrid>
        <w:gridCol w:w="1964"/>
        <w:gridCol w:w="6947"/>
      </w:tblGrid>
      <w:tr w:rsidR="00D5446B" w14:paraId="2D0979FC" w14:textId="77777777" w:rsidTr="00D5446B">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1102" w:type="pct"/>
            <w:vAlign w:val="center"/>
            <w:hideMark/>
          </w:tcPr>
          <w:p w14:paraId="39875095" w14:textId="55919753" w:rsidR="00D5446B" w:rsidRDefault="00D5446B" w:rsidP="00D305F5">
            <w:pPr>
              <w:rPr>
                <w:rFonts w:ascii="Arial" w:hAnsi="Arial" w:cs="Arial"/>
                <w:color w:val="000000"/>
                <w:sz w:val="24"/>
                <w:szCs w:val="24"/>
                <w:lang w:val="en-CA"/>
              </w:rPr>
            </w:pPr>
            <w:r>
              <w:rPr>
                <w:rFonts w:ascii="Arial" w:hAnsi="Arial" w:cs="Arial"/>
                <w:b w:val="0"/>
                <w:bCs w:val="0"/>
                <w:color w:val="000000"/>
                <w:sz w:val="24"/>
                <w:szCs w:val="24"/>
              </w:rPr>
              <w:t>May 19, 2020</w:t>
            </w:r>
          </w:p>
        </w:tc>
        <w:tc>
          <w:tcPr>
            <w:tcW w:w="3898" w:type="pct"/>
            <w:vAlign w:val="center"/>
            <w:hideMark/>
          </w:tcPr>
          <w:p w14:paraId="172B3BA6" w14:textId="7A3D1443" w:rsidR="00D5446B" w:rsidRPr="00D305F5" w:rsidRDefault="00D5446B" w:rsidP="00CF31EB">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lang w:val="en-CA"/>
              </w:rPr>
            </w:pPr>
            <w:r w:rsidRPr="00D305F5">
              <w:rPr>
                <w:rFonts w:ascii="Arial" w:hAnsi="Arial" w:cs="Arial"/>
                <w:b w:val="0"/>
                <w:bCs w:val="0"/>
                <w:color w:val="000000"/>
                <w:sz w:val="24"/>
                <w:szCs w:val="24"/>
              </w:rPr>
              <w:t>Launch of the ECSF</w:t>
            </w:r>
            <w:r w:rsidR="00CF31EB">
              <w:rPr>
                <w:rFonts w:ascii="Arial" w:hAnsi="Arial" w:cs="Arial"/>
                <w:b w:val="0"/>
                <w:bCs w:val="0"/>
                <w:color w:val="000000"/>
                <w:sz w:val="24"/>
                <w:szCs w:val="24"/>
              </w:rPr>
              <w:t xml:space="preserve"> </w:t>
            </w:r>
            <w:r w:rsidR="00CF31EB" w:rsidRPr="00CF31EB">
              <w:rPr>
                <w:rFonts w:ascii="Arial" w:hAnsi="Arial" w:cs="Arial"/>
                <w:b w:val="0"/>
                <w:bCs w:val="0"/>
                <w:color w:val="000000"/>
                <w:sz w:val="24"/>
                <w:szCs w:val="24"/>
              </w:rPr>
              <w:t>http://ckl-unitedway.ca/covid-19/</w:t>
            </w:r>
          </w:p>
        </w:tc>
      </w:tr>
      <w:tr w:rsidR="00D5446B" w14:paraId="0252F116" w14:textId="77777777" w:rsidTr="00D5446B">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1102" w:type="pct"/>
            <w:vAlign w:val="center"/>
            <w:hideMark/>
          </w:tcPr>
          <w:p w14:paraId="5F997B4E" w14:textId="52BD717F" w:rsidR="00D5446B" w:rsidRPr="00D5446B" w:rsidRDefault="00D5446B" w:rsidP="00D305F5">
            <w:pPr>
              <w:rPr>
                <w:rFonts w:ascii="Arial" w:hAnsi="Arial" w:cs="Arial"/>
                <w:b w:val="0"/>
                <w:bCs w:val="0"/>
                <w:color w:val="000000"/>
                <w:sz w:val="24"/>
                <w:szCs w:val="24"/>
              </w:rPr>
            </w:pPr>
            <w:r>
              <w:rPr>
                <w:rFonts w:ascii="Arial" w:hAnsi="Arial" w:cs="Arial"/>
                <w:b w:val="0"/>
                <w:bCs w:val="0"/>
                <w:color w:val="000000"/>
                <w:sz w:val="24"/>
                <w:szCs w:val="24"/>
              </w:rPr>
              <w:t>May 19</w:t>
            </w:r>
            <w:r w:rsidR="00622E6F">
              <w:rPr>
                <w:rFonts w:ascii="Arial" w:hAnsi="Arial" w:cs="Arial"/>
                <w:b w:val="0"/>
                <w:bCs w:val="0"/>
                <w:color w:val="000000"/>
                <w:sz w:val="24"/>
                <w:szCs w:val="24"/>
              </w:rPr>
              <w:t>,</w:t>
            </w:r>
            <w:r>
              <w:rPr>
                <w:rFonts w:ascii="Arial" w:hAnsi="Arial" w:cs="Arial"/>
                <w:b w:val="0"/>
                <w:bCs w:val="0"/>
                <w:color w:val="000000"/>
                <w:sz w:val="24"/>
                <w:szCs w:val="24"/>
              </w:rPr>
              <w:t xml:space="preserve"> 2020 </w:t>
            </w:r>
            <w:r w:rsidR="008E68E0">
              <w:rPr>
                <w:rFonts w:ascii="Arial" w:hAnsi="Arial" w:cs="Arial"/>
                <w:b w:val="0"/>
                <w:bCs w:val="0"/>
                <w:color w:val="000000"/>
                <w:sz w:val="24"/>
                <w:szCs w:val="24"/>
              </w:rPr>
              <w:t>–</w:t>
            </w:r>
            <w:r>
              <w:rPr>
                <w:rFonts w:ascii="Arial" w:hAnsi="Arial" w:cs="Arial"/>
                <w:b w:val="0"/>
                <w:bCs w:val="0"/>
                <w:color w:val="000000"/>
                <w:sz w:val="24"/>
                <w:szCs w:val="24"/>
              </w:rPr>
              <w:t xml:space="preserve"> </w:t>
            </w:r>
            <w:r w:rsidR="00622E6F">
              <w:rPr>
                <w:rFonts w:ascii="Arial" w:hAnsi="Arial" w:cs="Arial"/>
                <w:b w:val="0"/>
                <w:bCs w:val="0"/>
                <w:color w:val="000000"/>
                <w:sz w:val="24"/>
                <w:szCs w:val="24"/>
              </w:rPr>
              <w:t>July 10, 2020</w:t>
            </w:r>
          </w:p>
        </w:tc>
        <w:tc>
          <w:tcPr>
            <w:tcW w:w="3898" w:type="pct"/>
            <w:vAlign w:val="center"/>
            <w:hideMark/>
          </w:tcPr>
          <w:p w14:paraId="1E1C5979" w14:textId="6F35283E" w:rsidR="00D5446B" w:rsidRDefault="00622E6F"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Rolling application process</w:t>
            </w:r>
            <w:r w:rsidR="00D5446B">
              <w:rPr>
                <w:rFonts w:ascii="Arial" w:hAnsi="Arial" w:cs="Arial"/>
                <w:color w:val="000000"/>
                <w:sz w:val="24"/>
                <w:szCs w:val="24"/>
              </w:rPr>
              <w:t xml:space="preserve">  </w:t>
            </w:r>
          </w:p>
        </w:tc>
      </w:tr>
    </w:tbl>
    <w:p w14:paraId="3EB7FEC7" w14:textId="77777777" w:rsidR="00D305F5" w:rsidRDefault="00D305F5" w:rsidP="00D305F5">
      <w:pPr>
        <w:spacing w:after="0" w:line="240" w:lineRule="auto"/>
        <w:rPr>
          <w:rFonts w:ascii="Arial" w:hAnsi="Arial" w:cs="Arial"/>
          <w:color w:val="000000"/>
          <w:sz w:val="24"/>
          <w:szCs w:val="24"/>
        </w:rPr>
      </w:pPr>
    </w:p>
    <w:p w14:paraId="6575DB44" w14:textId="77777777" w:rsidR="00D305F5" w:rsidRDefault="00D305F5" w:rsidP="00D305F5">
      <w:pPr>
        <w:spacing w:after="0" w:line="240" w:lineRule="auto"/>
        <w:rPr>
          <w:rFonts w:ascii="Arial" w:hAnsi="Arial" w:cs="Arial"/>
          <w:color w:val="000000"/>
          <w:sz w:val="24"/>
          <w:szCs w:val="24"/>
        </w:rPr>
      </w:pPr>
    </w:p>
    <w:p w14:paraId="6F39FAE8" w14:textId="77777777" w:rsidR="00D305F5" w:rsidRDefault="00D305F5" w:rsidP="00D305F5">
      <w:pPr>
        <w:spacing w:after="0" w:line="240" w:lineRule="auto"/>
        <w:rPr>
          <w:rFonts w:ascii="Arial" w:hAnsi="Arial" w:cs="Arial"/>
          <w:color w:val="000000"/>
          <w:sz w:val="24"/>
          <w:szCs w:val="24"/>
        </w:rPr>
      </w:pPr>
    </w:p>
    <w:p w14:paraId="1E5B8DCB" w14:textId="220815CF" w:rsidR="00D305F5" w:rsidRDefault="00D305F5" w:rsidP="00D305F5">
      <w:pPr>
        <w:pStyle w:val="Heading3"/>
        <w:rPr>
          <w:rFonts w:ascii="Calibri Light" w:eastAsia="Calibri" w:hAnsi="Calibri Light" w:cs="Tahoma"/>
          <w:color w:val="2E74B5"/>
          <w:sz w:val="26"/>
          <w:szCs w:val="26"/>
        </w:rPr>
      </w:pPr>
      <w:r>
        <w:rPr>
          <w:rFonts w:eastAsia="Calibri"/>
        </w:rPr>
        <w:t>Eligibility</w:t>
      </w:r>
    </w:p>
    <w:p w14:paraId="395B73CC" w14:textId="77777777" w:rsidR="00D305F5" w:rsidRDefault="00D305F5" w:rsidP="00D305F5">
      <w:pPr>
        <w:spacing w:after="0" w:line="240" w:lineRule="auto"/>
        <w:rPr>
          <w:rFonts w:ascii="Arial" w:eastAsia="Calibri" w:hAnsi="Arial" w:cs="Arial"/>
          <w:color w:val="000000"/>
          <w:sz w:val="24"/>
          <w:szCs w:val="24"/>
        </w:rPr>
      </w:pPr>
    </w:p>
    <w:p w14:paraId="436E1E64" w14:textId="1B73B04C" w:rsidR="00D305F5" w:rsidRDefault="00622E6F" w:rsidP="00D305F5">
      <w:pPr>
        <w:spacing w:after="0" w:line="240" w:lineRule="auto"/>
        <w:rPr>
          <w:rFonts w:ascii="Arial" w:hAnsi="Arial" w:cs="Arial"/>
          <w:color w:val="000000"/>
          <w:sz w:val="24"/>
          <w:szCs w:val="24"/>
        </w:rPr>
      </w:pPr>
      <w:r>
        <w:rPr>
          <w:rFonts w:ascii="Arial" w:hAnsi="Arial" w:cs="Arial"/>
          <w:color w:val="000000"/>
          <w:sz w:val="24"/>
          <w:szCs w:val="24"/>
        </w:rPr>
        <w:t xml:space="preserve">United Way for the City of Kawartha Lakes </w:t>
      </w:r>
      <w:r w:rsidR="00D305F5">
        <w:rPr>
          <w:rFonts w:ascii="Arial" w:hAnsi="Arial" w:cs="Arial"/>
          <w:color w:val="000000"/>
          <w:sz w:val="24"/>
          <w:szCs w:val="24"/>
        </w:rPr>
        <w:t>fund</w:t>
      </w:r>
      <w:r w:rsidR="008E68E0">
        <w:rPr>
          <w:rFonts w:ascii="Arial" w:hAnsi="Arial" w:cs="Arial"/>
          <w:color w:val="000000"/>
          <w:sz w:val="24"/>
          <w:szCs w:val="24"/>
        </w:rPr>
        <w:t>s</w:t>
      </w:r>
      <w:r w:rsidR="00D305F5">
        <w:rPr>
          <w:rFonts w:ascii="Arial" w:hAnsi="Arial" w:cs="Arial"/>
          <w:color w:val="000000"/>
          <w:sz w:val="24"/>
          <w:szCs w:val="24"/>
        </w:rPr>
        <w:t xml:space="preserve"> charities and other qualified </w:t>
      </w:r>
      <w:proofErr w:type="spellStart"/>
      <w:r w:rsidR="00D305F5">
        <w:rPr>
          <w:rFonts w:ascii="Arial" w:hAnsi="Arial" w:cs="Arial"/>
          <w:color w:val="000000"/>
          <w:sz w:val="24"/>
          <w:szCs w:val="24"/>
        </w:rPr>
        <w:t>donees</w:t>
      </w:r>
      <w:proofErr w:type="spellEnd"/>
      <w:r w:rsidR="00D305F5">
        <w:rPr>
          <w:rFonts w:ascii="Arial" w:hAnsi="Arial" w:cs="Arial"/>
          <w:color w:val="000000"/>
          <w:sz w:val="24"/>
          <w:szCs w:val="24"/>
        </w:rPr>
        <w:t xml:space="preserve">.  </w:t>
      </w:r>
    </w:p>
    <w:p w14:paraId="6591BA24" w14:textId="77777777" w:rsidR="00622E6F" w:rsidRDefault="00622E6F" w:rsidP="00D305F5">
      <w:pPr>
        <w:spacing w:after="0" w:line="240" w:lineRule="auto"/>
        <w:rPr>
          <w:rFonts w:ascii="Arial" w:hAnsi="Arial" w:cs="Arial"/>
          <w:color w:val="000000"/>
          <w:sz w:val="24"/>
          <w:szCs w:val="24"/>
        </w:rPr>
      </w:pPr>
    </w:p>
    <w:p w14:paraId="7290C754"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Examples of Qualified </w:t>
      </w:r>
      <w:proofErr w:type="spellStart"/>
      <w:r>
        <w:rPr>
          <w:rFonts w:ascii="Arial" w:hAnsi="Arial" w:cs="Arial"/>
          <w:color w:val="000000"/>
          <w:sz w:val="24"/>
          <w:szCs w:val="24"/>
        </w:rPr>
        <w:t>Donees</w:t>
      </w:r>
      <w:proofErr w:type="spellEnd"/>
      <w:r>
        <w:rPr>
          <w:rFonts w:ascii="Arial" w:hAnsi="Arial" w:cs="Arial"/>
          <w:color w:val="000000"/>
          <w:sz w:val="24"/>
          <w:szCs w:val="24"/>
        </w:rPr>
        <w:t xml:space="preserve"> include:</w:t>
      </w:r>
    </w:p>
    <w:p w14:paraId="373BDC06" w14:textId="77777777" w:rsidR="00D305F5" w:rsidRDefault="00D305F5" w:rsidP="00D305F5">
      <w:pPr>
        <w:pStyle w:val="ListParagraph"/>
        <w:numPr>
          <w:ilvl w:val="0"/>
          <w:numId w:val="13"/>
        </w:numPr>
        <w:spacing w:after="0" w:line="240" w:lineRule="auto"/>
        <w:ind w:left="426"/>
        <w:rPr>
          <w:rFonts w:ascii="Arial" w:hAnsi="Arial" w:cs="Arial"/>
          <w:color w:val="000000"/>
          <w:sz w:val="24"/>
          <w:szCs w:val="24"/>
        </w:rPr>
      </w:pPr>
      <w:r>
        <w:rPr>
          <w:rFonts w:ascii="Arial" w:hAnsi="Arial" w:cs="Arial"/>
          <w:color w:val="000000"/>
          <w:sz w:val="24"/>
          <w:szCs w:val="24"/>
        </w:rPr>
        <w:t>Registered charities</w:t>
      </w:r>
    </w:p>
    <w:p w14:paraId="0E74AB6C" w14:textId="77777777" w:rsidR="00D305F5" w:rsidRDefault="00D305F5" w:rsidP="00D305F5">
      <w:pPr>
        <w:pStyle w:val="ListParagraph"/>
        <w:numPr>
          <w:ilvl w:val="0"/>
          <w:numId w:val="13"/>
        </w:numPr>
        <w:spacing w:after="0" w:line="240" w:lineRule="auto"/>
        <w:ind w:left="426"/>
        <w:rPr>
          <w:rFonts w:ascii="Arial" w:hAnsi="Arial" w:cs="Arial"/>
          <w:color w:val="000000"/>
          <w:sz w:val="24"/>
          <w:szCs w:val="24"/>
        </w:rPr>
      </w:pPr>
      <w:r>
        <w:rPr>
          <w:rFonts w:ascii="Arial" w:hAnsi="Arial" w:cs="Arial"/>
          <w:color w:val="000000"/>
          <w:sz w:val="24"/>
          <w:szCs w:val="24"/>
        </w:rPr>
        <w:t>Registered Canadian Municipalities</w:t>
      </w:r>
    </w:p>
    <w:p w14:paraId="2CE10E86" w14:textId="77777777" w:rsidR="00D305F5" w:rsidRDefault="00D305F5" w:rsidP="00D305F5">
      <w:pPr>
        <w:pStyle w:val="ListParagraph"/>
        <w:numPr>
          <w:ilvl w:val="0"/>
          <w:numId w:val="13"/>
        </w:numPr>
        <w:spacing w:after="0" w:line="240" w:lineRule="auto"/>
        <w:ind w:left="426"/>
        <w:rPr>
          <w:rFonts w:ascii="Arial" w:hAnsi="Arial" w:cs="Arial"/>
          <w:color w:val="000000"/>
          <w:sz w:val="24"/>
          <w:szCs w:val="24"/>
        </w:rPr>
      </w:pPr>
      <w:r>
        <w:rPr>
          <w:rFonts w:ascii="Arial" w:hAnsi="Arial" w:cs="Arial"/>
          <w:color w:val="000000"/>
          <w:sz w:val="24"/>
          <w:szCs w:val="24"/>
        </w:rPr>
        <w:t>Registered municipal or public bodies performing a function of government in Canada</w:t>
      </w:r>
    </w:p>
    <w:p w14:paraId="50F6FEAC" w14:textId="77777777" w:rsidR="00D305F5" w:rsidRDefault="00D305F5" w:rsidP="00D305F5">
      <w:pPr>
        <w:spacing w:after="0" w:line="240" w:lineRule="auto"/>
        <w:rPr>
          <w:rFonts w:ascii="Arial" w:hAnsi="Arial" w:cs="Arial"/>
          <w:color w:val="000000"/>
          <w:sz w:val="24"/>
          <w:szCs w:val="24"/>
        </w:rPr>
      </w:pPr>
    </w:p>
    <w:p w14:paraId="24E406D4" w14:textId="4D673A0C"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Organizations may seek ECSF funds acting alone, or as part of a partnership.  Organizations may also seek funds for more than one service.  Separate requests should be completed for each service.  </w:t>
      </w:r>
    </w:p>
    <w:p w14:paraId="5AE6CA61" w14:textId="77777777" w:rsidR="00D305F5" w:rsidRDefault="00D305F5" w:rsidP="00D305F5">
      <w:pPr>
        <w:spacing w:after="0" w:line="240" w:lineRule="auto"/>
        <w:rPr>
          <w:rFonts w:ascii="Arial" w:hAnsi="Arial" w:cs="Arial"/>
          <w:color w:val="000000"/>
          <w:sz w:val="24"/>
          <w:szCs w:val="24"/>
        </w:rPr>
      </w:pPr>
    </w:p>
    <w:p w14:paraId="62EEE37F" w14:textId="77777777" w:rsidR="00D305F5" w:rsidRDefault="00D305F5" w:rsidP="00C34022">
      <w:pPr>
        <w:pStyle w:val="Heading3"/>
        <w:rPr>
          <w:rFonts w:ascii="Calibri Light" w:eastAsia="Calibri" w:hAnsi="Calibri Light" w:cs="Tahoma"/>
          <w:color w:val="2E74B5"/>
          <w:sz w:val="26"/>
          <w:szCs w:val="26"/>
        </w:rPr>
      </w:pPr>
      <w:r>
        <w:rPr>
          <w:rFonts w:eastAsia="Calibri"/>
        </w:rPr>
        <w:t>Community Services</w:t>
      </w:r>
    </w:p>
    <w:p w14:paraId="019A6D6F" w14:textId="77777777" w:rsidR="00D305F5" w:rsidRDefault="00D305F5" w:rsidP="00C34022">
      <w:pPr>
        <w:keepNext/>
        <w:spacing w:after="0" w:line="240" w:lineRule="auto"/>
        <w:rPr>
          <w:rFonts w:ascii="Arial" w:eastAsia="Calibri" w:hAnsi="Arial" w:cs="Arial"/>
          <w:color w:val="000000"/>
          <w:sz w:val="24"/>
          <w:szCs w:val="24"/>
        </w:rPr>
      </w:pPr>
    </w:p>
    <w:p w14:paraId="1C64FD30"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The ECSF will provide financial support for community services that:</w:t>
      </w:r>
    </w:p>
    <w:p w14:paraId="6951E750" w14:textId="77777777" w:rsidR="00D305F5" w:rsidRDefault="00D305F5" w:rsidP="00D305F5">
      <w:pPr>
        <w:pStyle w:val="ListParagraph"/>
        <w:numPr>
          <w:ilvl w:val="0"/>
          <w:numId w:val="14"/>
        </w:numPr>
        <w:spacing w:after="0" w:line="240" w:lineRule="auto"/>
        <w:ind w:left="426"/>
        <w:rPr>
          <w:rFonts w:ascii="Arial" w:hAnsi="Arial" w:cs="Arial"/>
          <w:color w:val="000000"/>
          <w:sz w:val="24"/>
          <w:szCs w:val="24"/>
        </w:rPr>
      </w:pPr>
      <w:r>
        <w:rPr>
          <w:rFonts w:ascii="Arial" w:hAnsi="Arial" w:cs="Arial"/>
          <w:color w:val="000000"/>
          <w:sz w:val="24"/>
          <w:szCs w:val="24"/>
        </w:rPr>
        <w:t>Address a pressing social inclusion or wellbeing need caused or worsened by COVID-19,</w:t>
      </w:r>
    </w:p>
    <w:p w14:paraId="0623DB58" w14:textId="77777777" w:rsidR="00D305F5" w:rsidRDefault="00D305F5" w:rsidP="00D305F5">
      <w:pPr>
        <w:pStyle w:val="ListParagraph"/>
        <w:numPr>
          <w:ilvl w:val="0"/>
          <w:numId w:val="14"/>
        </w:numPr>
        <w:spacing w:after="0" w:line="240" w:lineRule="auto"/>
        <w:ind w:left="426"/>
        <w:rPr>
          <w:rFonts w:ascii="Arial" w:hAnsi="Arial" w:cs="Arial"/>
          <w:color w:val="000000"/>
          <w:sz w:val="24"/>
          <w:szCs w:val="24"/>
        </w:rPr>
      </w:pPr>
      <w:r>
        <w:rPr>
          <w:rFonts w:ascii="Arial" w:hAnsi="Arial" w:cs="Arial"/>
          <w:color w:val="000000"/>
          <w:sz w:val="24"/>
          <w:szCs w:val="24"/>
        </w:rPr>
        <w:t>Serve one or more vulnerable groups (defined below),</w:t>
      </w:r>
    </w:p>
    <w:p w14:paraId="28A270B9" w14:textId="77777777" w:rsidR="00D305F5" w:rsidRDefault="00D305F5" w:rsidP="00D305F5">
      <w:pPr>
        <w:pStyle w:val="ListParagraph"/>
        <w:numPr>
          <w:ilvl w:val="0"/>
          <w:numId w:val="14"/>
        </w:numPr>
        <w:spacing w:after="0" w:line="240" w:lineRule="auto"/>
        <w:ind w:left="426"/>
        <w:rPr>
          <w:rFonts w:ascii="Arial" w:hAnsi="Arial" w:cs="Arial"/>
          <w:color w:val="000000"/>
          <w:sz w:val="24"/>
          <w:szCs w:val="24"/>
        </w:rPr>
      </w:pPr>
      <w:r>
        <w:rPr>
          <w:rFonts w:ascii="Arial" w:hAnsi="Arial" w:cs="Arial"/>
          <w:color w:val="000000"/>
          <w:sz w:val="24"/>
          <w:szCs w:val="24"/>
        </w:rPr>
        <w:t>Will be carried out with a reasonable budget before March 31</w:t>
      </w:r>
      <w:r>
        <w:rPr>
          <w:rFonts w:ascii="Arial" w:hAnsi="Arial" w:cs="Arial"/>
          <w:color w:val="000000"/>
          <w:sz w:val="24"/>
          <w:szCs w:val="24"/>
          <w:vertAlign w:val="superscript"/>
        </w:rPr>
        <w:t>st</w:t>
      </w:r>
      <w:r>
        <w:rPr>
          <w:rFonts w:ascii="Arial" w:hAnsi="Arial" w:cs="Arial"/>
          <w:color w:val="000000"/>
          <w:sz w:val="24"/>
          <w:szCs w:val="24"/>
        </w:rPr>
        <w:t>, 2021.</w:t>
      </w:r>
    </w:p>
    <w:p w14:paraId="7ACB340F" w14:textId="77777777" w:rsidR="00D305F5" w:rsidRDefault="00D305F5" w:rsidP="00D305F5">
      <w:pPr>
        <w:spacing w:after="0" w:line="240" w:lineRule="auto"/>
        <w:rPr>
          <w:rFonts w:ascii="Arial" w:hAnsi="Arial" w:cs="Arial"/>
          <w:color w:val="000000"/>
          <w:sz w:val="24"/>
          <w:szCs w:val="24"/>
        </w:rPr>
      </w:pPr>
    </w:p>
    <w:p w14:paraId="6ADD5350" w14:textId="0C2AB19C"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Community Service Organizations seeking ECSF funds will be asked to provide details including a budget, the services and activities they propose, the vulnerable populations these services will reach, and whether the services will be delivered in urban, rural, or remote communities.   </w:t>
      </w:r>
    </w:p>
    <w:p w14:paraId="47D20206" w14:textId="77777777" w:rsidR="00D305F5" w:rsidRDefault="00D305F5" w:rsidP="00D305F5">
      <w:pPr>
        <w:spacing w:after="0" w:line="240" w:lineRule="auto"/>
        <w:rPr>
          <w:rFonts w:ascii="Arial" w:hAnsi="Arial" w:cs="Arial"/>
          <w:color w:val="000000"/>
          <w:sz w:val="24"/>
          <w:szCs w:val="24"/>
        </w:rPr>
      </w:pPr>
    </w:p>
    <w:p w14:paraId="5EA471A0" w14:textId="19EBB492" w:rsidR="00D305F5" w:rsidRDefault="00B9522A" w:rsidP="00D305F5">
      <w:pPr>
        <w:pStyle w:val="Heading3"/>
        <w:rPr>
          <w:rFonts w:ascii="Calibri Light" w:eastAsia="Calibri" w:hAnsi="Calibri Light" w:cs="Tahoma"/>
          <w:color w:val="2E74B5"/>
          <w:sz w:val="26"/>
          <w:szCs w:val="26"/>
        </w:rPr>
      </w:pPr>
      <w:r>
        <w:rPr>
          <w:rFonts w:eastAsia="Calibri"/>
        </w:rPr>
        <w:t xml:space="preserve">Types of </w:t>
      </w:r>
      <w:r w:rsidR="00D305F5">
        <w:rPr>
          <w:rFonts w:eastAsia="Calibri"/>
        </w:rPr>
        <w:t>Activit</w:t>
      </w:r>
      <w:r>
        <w:rPr>
          <w:rFonts w:eastAsia="Calibri"/>
        </w:rPr>
        <w:t>y</w:t>
      </w:r>
      <w:r w:rsidR="00D305F5">
        <w:rPr>
          <w:rFonts w:eastAsia="Calibri"/>
        </w:rPr>
        <w:t>, as defined by ESDC, include:</w:t>
      </w:r>
    </w:p>
    <w:p w14:paraId="65A7F1F9" w14:textId="77777777" w:rsidR="00D305F5" w:rsidRDefault="00D305F5" w:rsidP="00D305F5">
      <w:pPr>
        <w:spacing w:after="0" w:line="240" w:lineRule="auto"/>
        <w:rPr>
          <w:rFonts w:ascii="Arial" w:eastAsia="Calibri" w:hAnsi="Arial" w:cs="Arial"/>
          <w:color w:val="000000"/>
          <w:sz w:val="24"/>
          <w:szCs w:val="24"/>
        </w:rPr>
      </w:pPr>
    </w:p>
    <w:p w14:paraId="76FAB80B" w14:textId="77777777" w:rsidR="00D305F5" w:rsidRDefault="00D305F5" w:rsidP="00D305F5">
      <w:pPr>
        <w:pStyle w:val="ListParagraph"/>
        <w:numPr>
          <w:ilvl w:val="0"/>
          <w:numId w:val="15"/>
        </w:numPr>
        <w:spacing w:after="0" w:line="240" w:lineRule="auto"/>
        <w:ind w:left="426"/>
        <w:rPr>
          <w:rFonts w:ascii="Arial" w:hAnsi="Arial" w:cs="Arial"/>
          <w:color w:val="000000"/>
          <w:sz w:val="24"/>
          <w:szCs w:val="24"/>
        </w:rPr>
      </w:pPr>
      <w:r>
        <w:rPr>
          <w:rFonts w:ascii="Arial" w:hAnsi="Arial" w:cs="Arial"/>
          <w:color w:val="000000"/>
          <w:sz w:val="24"/>
          <w:szCs w:val="24"/>
        </w:rPr>
        <w:t>Community outreach and engagement</w:t>
      </w:r>
    </w:p>
    <w:p w14:paraId="0B736EFE" w14:textId="77777777" w:rsidR="00D305F5" w:rsidRDefault="00D305F5" w:rsidP="00D305F5">
      <w:pPr>
        <w:pStyle w:val="ListParagraph"/>
        <w:numPr>
          <w:ilvl w:val="0"/>
          <w:numId w:val="15"/>
        </w:numPr>
        <w:spacing w:after="0" w:line="240" w:lineRule="auto"/>
        <w:ind w:left="426"/>
        <w:rPr>
          <w:rFonts w:ascii="Arial" w:hAnsi="Arial" w:cs="Arial"/>
          <w:color w:val="000000"/>
          <w:sz w:val="24"/>
          <w:szCs w:val="24"/>
        </w:rPr>
      </w:pPr>
      <w:r>
        <w:rPr>
          <w:rFonts w:ascii="Arial" w:hAnsi="Arial" w:cs="Arial"/>
          <w:color w:val="000000"/>
          <w:sz w:val="24"/>
          <w:szCs w:val="24"/>
        </w:rPr>
        <w:t>Delivering or developing new models, tools, programming, services or resources</w:t>
      </w:r>
    </w:p>
    <w:p w14:paraId="6675B673" w14:textId="77777777" w:rsidR="00D305F5" w:rsidRDefault="00D305F5" w:rsidP="00D305F5">
      <w:pPr>
        <w:pStyle w:val="ListParagraph"/>
        <w:numPr>
          <w:ilvl w:val="0"/>
          <w:numId w:val="15"/>
        </w:numPr>
        <w:spacing w:after="0" w:line="240" w:lineRule="auto"/>
        <w:ind w:left="426"/>
        <w:rPr>
          <w:rFonts w:ascii="Arial" w:hAnsi="Arial" w:cs="Arial"/>
          <w:color w:val="000000"/>
          <w:sz w:val="24"/>
          <w:szCs w:val="24"/>
        </w:rPr>
      </w:pPr>
      <w:r>
        <w:rPr>
          <w:rFonts w:ascii="Arial" w:hAnsi="Arial" w:cs="Arial"/>
          <w:color w:val="000000"/>
          <w:sz w:val="24"/>
          <w:szCs w:val="24"/>
        </w:rPr>
        <w:t>Disseminating information and knowledge</w:t>
      </w:r>
    </w:p>
    <w:p w14:paraId="4CE5521D" w14:textId="77777777" w:rsidR="00D305F5" w:rsidRDefault="00D305F5" w:rsidP="00D305F5">
      <w:pPr>
        <w:pStyle w:val="ListParagraph"/>
        <w:numPr>
          <w:ilvl w:val="0"/>
          <w:numId w:val="15"/>
        </w:numPr>
        <w:spacing w:after="0" w:line="240" w:lineRule="auto"/>
        <w:ind w:left="426"/>
        <w:rPr>
          <w:rFonts w:ascii="Arial" w:hAnsi="Arial" w:cs="Arial"/>
          <w:color w:val="000000"/>
          <w:sz w:val="24"/>
          <w:szCs w:val="24"/>
        </w:rPr>
      </w:pPr>
      <w:r>
        <w:rPr>
          <w:rFonts w:ascii="Arial" w:hAnsi="Arial" w:cs="Arial"/>
          <w:color w:val="000000"/>
          <w:sz w:val="24"/>
          <w:szCs w:val="24"/>
        </w:rPr>
        <w:t>Volunteer engagement and recruitment</w:t>
      </w:r>
    </w:p>
    <w:p w14:paraId="57BA136D" w14:textId="190567A3" w:rsidR="00D305F5" w:rsidRPr="00D305F5" w:rsidRDefault="00D305F5" w:rsidP="00D305F5">
      <w:pPr>
        <w:pStyle w:val="ListParagraph"/>
        <w:numPr>
          <w:ilvl w:val="0"/>
          <w:numId w:val="15"/>
        </w:numPr>
        <w:spacing w:after="0" w:line="240" w:lineRule="auto"/>
        <w:ind w:left="426"/>
        <w:rPr>
          <w:rFonts w:ascii="Arial" w:hAnsi="Arial" w:cs="Arial"/>
          <w:color w:val="000000"/>
          <w:sz w:val="24"/>
          <w:szCs w:val="24"/>
        </w:rPr>
      </w:pPr>
      <w:r>
        <w:rPr>
          <w:rFonts w:ascii="Arial" w:hAnsi="Arial" w:cs="Arial"/>
          <w:color w:val="000000"/>
          <w:sz w:val="24"/>
          <w:szCs w:val="24"/>
        </w:rPr>
        <w:t>Other</w:t>
      </w:r>
    </w:p>
    <w:p w14:paraId="18883037" w14:textId="4FAB6318" w:rsidR="00D305F5" w:rsidRDefault="00D305F5" w:rsidP="00D305F5">
      <w:pPr>
        <w:spacing w:after="0" w:line="240" w:lineRule="auto"/>
        <w:rPr>
          <w:rFonts w:ascii="Arial" w:hAnsi="Arial" w:cs="Arial"/>
          <w:color w:val="000000"/>
          <w:sz w:val="24"/>
          <w:szCs w:val="24"/>
        </w:rPr>
      </w:pPr>
    </w:p>
    <w:p w14:paraId="7D057BB0" w14:textId="77777777" w:rsidR="003E5F10" w:rsidRDefault="003E5F10" w:rsidP="00D305F5">
      <w:pPr>
        <w:spacing w:after="0" w:line="240" w:lineRule="auto"/>
        <w:rPr>
          <w:rFonts w:ascii="Arial" w:hAnsi="Arial" w:cs="Arial"/>
          <w:color w:val="000000"/>
          <w:sz w:val="24"/>
          <w:szCs w:val="24"/>
        </w:rPr>
      </w:pPr>
    </w:p>
    <w:p w14:paraId="3BAE6BDF" w14:textId="41A593C0" w:rsidR="00D305F5" w:rsidRDefault="00B9522A" w:rsidP="00D305F5">
      <w:pPr>
        <w:pStyle w:val="Heading3"/>
        <w:rPr>
          <w:rFonts w:ascii="Calibri Light" w:eastAsia="Calibri" w:hAnsi="Calibri Light" w:cs="Tahoma"/>
          <w:color w:val="2E74B5"/>
          <w:sz w:val="26"/>
          <w:szCs w:val="26"/>
        </w:rPr>
      </w:pPr>
      <w:r>
        <w:rPr>
          <w:rFonts w:eastAsia="Calibri"/>
        </w:rPr>
        <w:t>Types of s</w:t>
      </w:r>
      <w:r w:rsidR="00D305F5">
        <w:rPr>
          <w:rFonts w:eastAsia="Calibri"/>
        </w:rPr>
        <w:t>ervice</w:t>
      </w:r>
      <w:r>
        <w:rPr>
          <w:rFonts w:eastAsia="Calibri"/>
        </w:rPr>
        <w:t>s</w:t>
      </w:r>
      <w:r w:rsidR="00D305F5">
        <w:rPr>
          <w:rFonts w:eastAsia="Calibri"/>
        </w:rPr>
        <w:t>, as defined by ESDC, include:</w:t>
      </w:r>
    </w:p>
    <w:p w14:paraId="2D6D2533" w14:textId="77777777" w:rsidR="00D305F5" w:rsidRDefault="00D305F5" w:rsidP="00D305F5">
      <w:pPr>
        <w:rPr>
          <w:rFonts w:eastAsia="Calibri"/>
        </w:rPr>
      </w:pPr>
    </w:p>
    <w:tbl>
      <w:tblPr>
        <w:tblStyle w:val="PlainTable2"/>
        <w:tblW w:w="0" w:type="auto"/>
        <w:tblBorders>
          <w:top w:val="none" w:sz="0" w:space="0" w:color="auto"/>
          <w:bottom w:val="none" w:sz="0" w:space="0" w:color="auto"/>
          <w:insideH w:val="single" w:sz="4" w:space="0" w:color="D0CECE" w:themeColor="background2" w:themeShade="E6"/>
        </w:tblBorders>
        <w:tblLook w:val="04A0" w:firstRow="1" w:lastRow="0" w:firstColumn="1" w:lastColumn="0" w:noHBand="0" w:noVBand="1"/>
      </w:tblPr>
      <w:tblGrid>
        <w:gridCol w:w="3060"/>
        <w:gridCol w:w="6300"/>
      </w:tblGrid>
      <w:tr w:rsidR="00D305F5" w:rsidRPr="00D305F5" w14:paraId="7D5CE281" w14:textId="77777777" w:rsidTr="001065D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bottom w:val="none" w:sz="0" w:space="0" w:color="auto"/>
            </w:tcBorders>
            <w:vAlign w:val="center"/>
            <w:hideMark/>
          </w:tcPr>
          <w:p w14:paraId="4F38F18A" w14:textId="49183ACF"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Food Security</w:t>
            </w:r>
          </w:p>
        </w:tc>
        <w:tc>
          <w:tcPr>
            <w:tcW w:w="6300" w:type="dxa"/>
            <w:tcBorders>
              <w:bottom w:val="none" w:sz="0" w:space="0" w:color="auto"/>
            </w:tcBorders>
            <w:vAlign w:val="center"/>
            <w:hideMark/>
          </w:tcPr>
          <w:p w14:paraId="56971712" w14:textId="77777777" w:rsidR="00D305F5" w:rsidRPr="00D305F5" w:rsidRDefault="00D305F5" w:rsidP="00D305F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D305F5">
              <w:rPr>
                <w:rFonts w:ascii="Arial" w:hAnsi="Arial" w:cs="Arial"/>
                <w:b w:val="0"/>
                <w:bCs w:val="0"/>
                <w:color w:val="000000"/>
                <w:sz w:val="24"/>
                <w:szCs w:val="24"/>
              </w:rPr>
              <w:t>prepared meals; delivery service; hampers/baskets</w:t>
            </w:r>
          </w:p>
        </w:tc>
      </w:tr>
      <w:tr w:rsidR="00D305F5" w:rsidRPr="00D305F5" w14:paraId="48570B43"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6F6A6E50"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Financial Wellness</w:t>
            </w:r>
          </w:p>
        </w:tc>
        <w:tc>
          <w:tcPr>
            <w:tcW w:w="6300" w:type="dxa"/>
            <w:tcBorders>
              <w:top w:val="none" w:sz="0" w:space="0" w:color="auto"/>
              <w:bottom w:val="none" w:sz="0" w:space="0" w:color="auto"/>
            </w:tcBorders>
            <w:vAlign w:val="center"/>
            <w:hideMark/>
          </w:tcPr>
          <w:p w14:paraId="6116F237"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financial literacy or coaching; access to income supports</w:t>
            </w:r>
          </w:p>
        </w:tc>
      </w:tr>
      <w:tr w:rsidR="00D305F5" w:rsidRPr="00D305F5" w14:paraId="30F1CE40" w14:textId="77777777" w:rsidTr="001065DB">
        <w:trPr>
          <w:trHeight w:val="432"/>
        </w:trPr>
        <w:tc>
          <w:tcPr>
            <w:cnfStyle w:val="001000000000" w:firstRow="0" w:lastRow="0" w:firstColumn="1" w:lastColumn="0" w:oddVBand="0" w:evenVBand="0" w:oddHBand="0" w:evenHBand="0" w:firstRowFirstColumn="0" w:firstRowLastColumn="0" w:lastRowFirstColumn="0" w:lastRowLastColumn="0"/>
            <w:tcW w:w="3060" w:type="dxa"/>
            <w:vAlign w:val="center"/>
            <w:hideMark/>
          </w:tcPr>
          <w:p w14:paraId="4E57D6AA"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lastRenderedPageBreak/>
              <w:t>Home Care or Personal Support</w:t>
            </w:r>
          </w:p>
        </w:tc>
        <w:tc>
          <w:tcPr>
            <w:tcW w:w="6300" w:type="dxa"/>
            <w:vAlign w:val="center"/>
            <w:hideMark/>
          </w:tcPr>
          <w:p w14:paraId="1AD322FC" w14:textId="77777777" w:rsidR="00D305F5" w:rsidRPr="00D305F5" w:rsidRDefault="00D305F5" w:rsidP="00D305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for seniors, Elders, and persons with disabilities</w:t>
            </w:r>
          </w:p>
        </w:tc>
      </w:tr>
      <w:tr w:rsidR="00D305F5" w:rsidRPr="00D305F5" w14:paraId="4C1D6937"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478249A3"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Health &amp; Hygiene</w:t>
            </w:r>
          </w:p>
        </w:tc>
        <w:tc>
          <w:tcPr>
            <w:tcW w:w="6300" w:type="dxa"/>
            <w:tcBorders>
              <w:top w:val="none" w:sz="0" w:space="0" w:color="auto"/>
              <w:bottom w:val="none" w:sz="0" w:space="0" w:color="auto"/>
            </w:tcBorders>
            <w:vAlign w:val="center"/>
            <w:hideMark/>
          </w:tcPr>
          <w:p w14:paraId="6C4FCAA1"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health info.; medication; personal hygiene &amp; medical supplies</w:t>
            </w:r>
          </w:p>
        </w:tc>
      </w:tr>
      <w:tr w:rsidR="00D305F5" w:rsidRPr="00D305F5" w14:paraId="71A9F601" w14:textId="77777777" w:rsidTr="001065DB">
        <w:trPr>
          <w:trHeight w:val="432"/>
        </w:trPr>
        <w:tc>
          <w:tcPr>
            <w:cnfStyle w:val="001000000000" w:firstRow="0" w:lastRow="0" w:firstColumn="1" w:lastColumn="0" w:oddVBand="0" w:evenVBand="0" w:oddHBand="0" w:evenHBand="0" w:firstRowFirstColumn="0" w:firstRowLastColumn="0" w:lastRowFirstColumn="0" w:lastRowLastColumn="0"/>
            <w:tcW w:w="3060" w:type="dxa"/>
            <w:vAlign w:val="center"/>
            <w:hideMark/>
          </w:tcPr>
          <w:p w14:paraId="1F5A3E05"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Information &amp; Navigation</w:t>
            </w:r>
          </w:p>
        </w:tc>
        <w:tc>
          <w:tcPr>
            <w:tcW w:w="6300" w:type="dxa"/>
            <w:vAlign w:val="center"/>
            <w:hideMark/>
          </w:tcPr>
          <w:p w14:paraId="640A13E4" w14:textId="77777777" w:rsidR="00D305F5" w:rsidRPr="00D305F5" w:rsidRDefault="00D305F5" w:rsidP="00D305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providing information; navigating supports</w:t>
            </w:r>
          </w:p>
        </w:tc>
      </w:tr>
      <w:tr w:rsidR="00D305F5" w:rsidRPr="00D305F5" w14:paraId="57B0A9EC"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204F7EF3"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Legal Support</w:t>
            </w:r>
          </w:p>
        </w:tc>
        <w:tc>
          <w:tcPr>
            <w:tcW w:w="6300" w:type="dxa"/>
            <w:tcBorders>
              <w:top w:val="none" w:sz="0" w:space="0" w:color="auto"/>
              <w:bottom w:val="none" w:sz="0" w:space="0" w:color="auto"/>
            </w:tcBorders>
            <w:vAlign w:val="center"/>
            <w:hideMark/>
          </w:tcPr>
          <w:p w14:paraId="24C5EA0D"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tools &amp; resources; legal clinics, etc.</w:t>
            </w:r>
          </w:p>
        </w:tc>
      </w:tr>
      <w:tr w:rsidR="00D305F5" w:rsidRPr="00D305F5" w14:paraId="61EC9142" w14:textId="77777777" w:rsidTr="001065DB">
        <w:trPr>
          <w:trHeight w:val="432"/>
        </w:trPr>
        <w:tc>
          <w:tcPr>
            <w:cnfStyle w:val="001000000000" w:firstRow="0" w:lastRow="0" w:firstColumn="1" w:lastColumn="0" w:oddVBand="0" w:evenVBand="0" w:oddHBand="0" w:evenHBand="0" w:firstRowFirstColumn="0" w:firstRowLastColumn="0" w:lastRowFirstColumn="0" w:lastRowLastColumn="0"/>
            <w:tcW w:w="3060" w:type="dxa"/>
            <w:vAlign w:val="center"/>
            <w:hideMark/>
          </w:tcPr>
          <w:p w14:paraId="2F739B3A"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Mental Health &amp; Wellness</w:t>
            </w:r>
          </w:p>
        </w:tc>
        <w:tc>
          <w:tcPr>
            <w:tcW w:w="6300" w:type="dxa"/>
            <w:vAlign w:val="center"/>
            <w:hideMark/>
          </w:tcPr>
          <w:p w14:paraId="0116C768" w14:textId="77777777" w:rsidR="00D305F5" w:rsidRPr="00D305F5" w:rsidRDefault="00D305F5" w:rsidP="00D305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peer support; crisis support</w:t>
            </w:r>
          </w:p>
        </w:tc>
      </w:tr>
      <w:tr w:rsidR="00D305F5" w:rsidRPr="00D305F5" w14:paraId="5BD0F4FE"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4B8D7ED2"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Shelter</w:t>
            </w:r>
          </w:p>
        </w:tc>
        <w:tc>
          <w:tcPr>
            <w:tcW w:w="6300" w:type="dxa"/>
            <w:tcBorders>
              <w:top w:val="none" w:sz="0" w:space="0" w:color="auto"/>
              <w:bottom w:val="none" w:sz="0" w:space="0" w:color="auto"/>
            </w:tcBorders>
            <w:vAlign w:val="center"/>
            <w:hideMark/>
          </w:tcPr>
          <w:p w14:paraId="0E472E89"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housing; crisis support</w:t>
            </w:r>
          </w:p>
        </w:tc>
      </w:tr>
      <w:tr w:rsidR="00D305F5" w:rsidRPr="00D305F5" w14:paraId="4D8FD40B" w14:textId="77777777" w:rsidTr="001065DB">
        <w:trPr>
          <w:trHeight w:val="432"/>
        </w:trPr>
        <w:tc>
          <w:tcPr>
            <w:cnfStyle w:val="001000000000" w:firstRow="0" w:lastRow="0" w:firstColumn="1" w:lastColumn="0" w:oddVBand="0" w:evenVBand="0" w:oddHBand="0" w:evenHBand="0" w:firstRowFirstColumn="0" w:firstRowLastColumn="0" w:lastRowFirstColumn="0" w:lastRowLastColumn="0"/>
            <w:tcW w:w="3060" w:type="dxa"/>
            <w:vAlign w:val="center"/>
            <w:hideMark/>
          </w:tcPr>
          <w:p w14:paraId="7A538917"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Personal Safety</w:t>
            </w:r>
          </w:p>
        </w:tc>
        <w:tc>
          <w:tcPr>
            <w:tcW w:w="6300" w:type="dxa"/>
            <w:vAlign w:val="center"/>
            <w:hideMark/>
          </w:tcPr>
          <w:p w14:paraId="71BF28DE" w14:textId="77777777" w:rsidR="00D305F5" w:rsidRPr="00D305F5" w:rsidRDefault="00D305F5" w:rsidP="00D305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info.; violence &amp; abuse support; violence &amp; abuse prevention</w:t>
            </w:r>
          </w:p>
        </w:tc>
      </w:tr>
      <w:tr w:rsidR="00D305F5" w:rsidRPr="00D305F5" w14:paraId="6C990936"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21C68C87"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Social Inclusion &amp; Learning</w:t>
            </w:r>
          </w:p>
        </w:tc>
        <w:tc>
          <w:tcPr>
            <w:tcW w:w="6300" w:type="dxa"/>
            <w:tcBorders>
              <w:top w:val="none" w:sz="0" w:space="0" w:color="auto"/>
              <w:bottom w:val="none" w:sz="0" w:space="0" w:color="auto"/>
            </w:tcBorders>
            <w:vAlign w:val="center"/>
            <w:hideMark/>
          </w:tcPr>
          <w:p w14:paraId="5909EB69"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friendly conversation; social activities; learning</w:t>
            </w:r>
          </w:p>
        </w:tc>
      </w:tr>
      <w:tr w:rsidR="00D305F5" w:rsidRPr="00D305F5" w14:paraId="2ABF7B45" w14:textId="77777777" w:rsidTr="001065DB">
        <w:trPr>
          <w:trHeight w:val="432"/>
        </w:trPr>
        <w:tc>
          <w:tcPr>
            <w:cnfStyle w:val="001000000000" w:firstRow="0" w:lastRow="0" w:firstColumn="1" w:lastColumn="0" w:oddVBand="0" w:evenVBand="0" w:oddHBand="0" w:evenHBand="0" w:firstRowFirstColumn="0" w:firstRowLastColumn="0" w:lastRowFirstColumn="0" w:lastRowLastColumn="0"/>
            <w:tcW w:w="3060" w:type="dxa"/>
            <w:vAlign w:val="center"/>
            <w:hideMark/>
          </w:tcPr>
          <w:p w14:paraId="4603564D"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Transportation</w:t>
            </w:r>
          </w:p>
        </w:tc>
        <w:tc>
          <w:tcPr>
            <w:tcW w:w="6300" w:type="dxa"/>
            <w:vAlign w:val="center"/>
            <w:hideMark/>
          </w:tcPr>
          <w:p w14:paraId="0912A137" w14:textId="08220638" w:rsidR="00D305F5" w:rsidRPr="00D305F5" w:rsidRDefault="00D305F5" w:rsidP="00D305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305F5">
              <w:rPr>
                <w:rFonts w:ascii="Arial" w:hAnsi="Arial" w:cs="Arial"/>
                <w:color w:val="000000"/>
                <w:sz w:val="24"/>
                <w:szCs w:val="24"/>
              </w:rPr>
              <w:t>access to safe transport to essential appoint</w:t>
            </w:r>
            <w:r w:rsidR="00FC090E">
              <w:rPr>
                <w:rFonts w:ascii="Arial" w:hAnsi="Arial" w:cs="Arial"/>
                <w:color w:val="000000"/>
                <w:sz w:val="24"/>
                <w:szCs w:val="24"/>
              </w:rPr>
              <w:t>ment</w:t>
            </w:r>
            <w:r w:rsidRPr="00D305F5">
              <w:rPr>
                <w:rFonts w:ascii="Arial" w:hAnsi="Arial" w:cs="Arial"/>
                <w:color w:val="000000"/>
                <w:sz w:val="24"/>
                <w:szCs w:val="24"/>
              </w:rPr>
              <w:t>s</w:t>
            </w:r>
            <w:r w:rsidR="00FC090E">
              <w:rPr>
                <w:rFonts w:ascii="Arial" w:hAnsi="Arial" w:cs="Arial"/>
                <w:color w:val="000000"/>
                <w:sz w:val="24"/>
                <w:szCs w:val="24"/>
              </w:rPr>
              <w:t xml:space="preserve"> and</w:t>
            </w:r>
            <w:r w:rsidRPr="00D305F5">
              <w:rPr>
                <w:rFonts w:ascii="Arial" w:hAnsi="Arial" w:cs="Arial"/>
                <w:color w:val="000000"/>
                <w:sz w:val="24"/>
                <w:szCs w:val="24"/>
              </w:rPr>
              <w:t xml:space="preserve"> errands</w:t>
            </w:r>
          </w:p>
        </w:tc>
      </w:tr>
      <w:tr w:rsidR="00D305F5" w:rsidRPr="00D305F5" w14:paraId="749E5E8E" w14:textId="77777777" w:rsidTr="001065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vAlign w:val="center"/>
            <w:hideMark/>
          </w:tcPr>
          <w:p w14:paraId="0EE8DA10" w14:textId="77777777" w:rsidR="00D305F5" w:rsidRPr="001065DB" w:rsidRDefault="00D305F5" w:rsidP="00D305F5">
            <w:pPr>
              <w:rPr>
                <w:rFonts w:ascii="Arial" w:hAnsi="Arial" w:cs="Arial"/>
                <w:color w:val="000000"/>
                <w:sz w:val="24"/>
                <w:szCs w:val="24"/>
              </w:rPr>
            </w:pPr>
            <w:r w:rsidRPr="001065DB">
              <w:rPr>
                <w:rFonts w:ascii="Arial" w:hAnsi="Arial" w:cs="Arial"/>
                <w:color w:val="000000"/>
                <w:sz w:val="24"/>
                <w:szCs w:val="24"/>
              </w:rPr>
              <w:t>Other</w:t>
            </w:r>
          </w:p>
        </w:tc>
        <w:tc>
          <w:tcPr>
            <w:tcW w:w="6300" w:type="dxa"/>
            <w:tcBorders>
              <w:top w:val="none" w:sz="0" w:space="0" w:color="auto"/>
              <w:bottom w:val="none" w:sz="0" w:space="0" w:color="auto"/>
            </w:tcBorders>
            <w:vAlign w:val="center"/>
          </w:tcPr>
          <w:p w14:paraId="1602630B" w14:textId="77777777" w:rsidR="00D305F5" w:rsidRPr="00D305F5" w:rsidRDefault="00D305F5" w:rsidP="00D305F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bl>
    <w:p w14:paraId="7A9E6B50" w14:textId="77777777" w:rsidR="00D305F5" w:rsidRDefault="00D305F5" w:rsidP="00D305F5">
      <w:pPr>
        <w:spacing w:after="0" w:line="240" w:lineRule="auto"/>
        <w:rPr>
          <w:rFonts w:ascii="Arial" w:hAnsi="Arial" w:cs="Arial"/>
          <w:color w:val="000000"/>
          <w:sz w:val="24"/>
          <w:szCs w:val="24"/>
        </w:rPr>
      </w:pPr>
    </w:p>
    <w:p w14:paraId="2A87D479" w14:textId="77777777" w:rsidR="00D305F5" w:rsidRDefault="00D305F5" w:rsidP="00D305F5">
      <w:pPr>
        <w:spacing w:after="0" w:line="240" w:lineRule="auto"/>
        <w:rPr>
          <w:rFonts w:ascii="Arial" w:hAnsi="Arial" w:cs="Arial"/>
          <w:color w:val="000000"/>
          <w:sz w:val="24"/>
          <w:szCs w:val="24"/>
        </w:rPr>
      </w:pPr>
    </w:p>
    <w:p w14:paraId="37EEFBE7" w14:textId="77777777" w:rsidR="00D305F5" w:rsidRDefault="00D305F5" w:rsidP="00D305F5">
      <w:pPr>
        <w:pStyle w:val="Heading3"/>
        <w:rPr>
          <w:rFonts w:ascii="Calibri Light" w:eastAsia="Calibri" w:hAnsi="Calibri Light" w:cs="Tahoma"/>
          <w:color w:val="2E74B5"/>
          <w:sz w:val="26"/>
          <w:szCs w:val="26"/>
        </w:rPr>
      </w:pPr>
      <w:r>
        <w:rPr>
          <w:rFonts w:eastAsia="Calibri"/>
        </w:rPr>
        <w:t>Vulnerable Populations, as defined by ESDC, include:</w:t>
      </w:r>
    </w:p>
    <w:p w14:paraId="66428D81" w14:textId="77777777" w:rsidR="00D305F5" w:rsidRDefault="00D305F5" w:rsidP="00D305F5">
      <w:pPr>
        <w:spacing w:after="0" w:line="240" w:lineRule="auto"/>
        <w:rPr>
          <w:rFonts w:ascii="Arial" w:eastAsia="Times New Roman" w:hAnsi="Arial" w:cs="Arial"/>
          <w:sz w:val="24"/>
          <w:szCs w:val="24"/>
        </w:rPr>
      </w:pPr>
    </w:p>
    <w:p w14:paraId="223B7DBC" w14:textId="77777777" w:rsidR="00D305F5" w:rsidRPr="00D305F5" w:rsidRDefault="00D305F5" w:rsidP="00D305F5">
      <w:pPr>
        <w:pStyle w:val="ListParagraph"/>
        <w:numPr>
          <w:ilvl w:val="0"/>
          <w:numId w:val="21"/>
        </w:numPr>
        <w:spacing w:after="0" w:line="240" w:lineRule="auto"/>
        <w:ind w:left="360"/>
        <w:rPr>
          <w:rFonts w:ascii="Arial" w:eastAsia="Times New Roman" w:hAnsi="Arial" w:cs="Arial"/>
          <w:sz w:val="24"/>
          <w:szCs w:val="24"/>
        </w:rPr>
      </w:pPr>
      <w:r w:rsidRPr="00D305F5">
        <w:rPr>
          <w:rFonts w:ascii="Arial" w:eastAsia="Times New Roman" w:hAnsi="Arial" w:cs="Arial"/>
          <w:sz w:val="24"/>
          <w:szCs w:val="24"/>
        </w:rPr>
        <w:t>Marginalized Communities, including:</w:t>
      </w:r>
    </w:p>
    <w:p w14:paraId="5F53500A"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Racialized communities*</w:t>
      </w:r>
    </w:p>
    <w:p w14:paraId="1A32790F"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Indigenous peoples:  First Nations, Inuit, and Metis</w:t>
      </w:r>
    </w:p>
    <w:p w14:paraId="1D5AFDBB"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Official Language Minority Communities</w:t>
      </w:r>
    </w:p>
    <w:p w14:paraId="46C4BB23"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Other linguistic minorities</w:t>
      </w:r>
    </w:p>
    <w:p w14:paraId="044BFD25"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Newcomers: all, permanent residents (immigrants and refugees), temporary residents, and international students</w:t>
      </w:r>
    </w:p>
    <w:p w14:paraId="723B163B"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Women and girls</w:t>
      </w:r>
    </w:p>
    <w:p w14:paraId="5FD0D290"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LGBTQ2S+ communities</w:t>
      </w:r>
    </w:p>
    <w:p w14:paraId="692AC556" w14:textId="77777777" w:rsidR="00D305F5" w:rsidRPr="00D305F5" w:rsidRDefault="00D305F5" w:rsidP="00D305F5">
      <w:pPr>
        <w:spacing w:after="0" w:line="240" w:lineRule="auto"/>
        <w:ind w:left="720"/>
        <w:rPr>
          <w:rFonts w:ascii="Arial" w:eastAsia="Times New Roman" w:hAnsi="Arial" w:cs="Arial"/>
          <w:i/>
          <w:iCs/>
          <w:sz w:val="24"/>
          <w:szCs w:val="24"/>
        </w:rPr>
      </w:pPr>
      <w:r w:rsidRPr="00D305F5">
        <w:rPr>
          <w:rFonts w:ascii="Arial" w:eastAsia="Times New Roman" w:hAnsi="Arial" w:cs="Arial"/>
          <w:i/>
          <w:iCs/>
          <w:sz w:val="24"/>
          <w:szCs w:val="24"/>
        </w:rPr>
        <w:t>*South Asian, Chinese, Black, Filipino, Latin American, Arab, Southeast Asian, West Asian, Korean, Japanese, groups not otherwise specified</w:t>
      </w:r>
    </w:p>
    <w:p w14:paraId="28E16B15" w14:textId="77777777" w:rsidR="00D305F5" w:rsidRDefault="00D305F5" w:rsidP="00D305F5">
      <w:pPr>
        <w:spacing w:after="0" w:line="240" w:lineRule="auto"/>
        <w:rPr>
          <w:rFonts w:ascii="Arial" w:eastAsia="Times New Roman" w:hAnsi="Arial" w:cs="Arial"/>
          <w:sz w:val="24"/>
          <w:szCs w:val="24"/>
        </w:rPr>
      </w:pPr>
    </w:p>
    <w:p w14:paraId="6AD5BB40" w14:textId="77777777" w:rsidR="00D305F5" w:rsidRPr="00D305F5" w:rsidRDefault="00D305F5" w:rsidP="00D305F5">
      <w:pPr>
        <w:pStyle w:val="ListParagraph"/>
        <w:numPr>
          <w:ilvl w:val="0"/>
          <w:numId w:val="21"/>
        </w:numPr>
        <w:spacing w:after="0" w:line="240" w:lineRule="auto"/>
        <w:ind w:left="360"/>
        <w:rPr>
          <w:rFonts w:ascii="Arial" w:eastAsia="Times New Roman" w:hAnsi="Arial" w:cs="Arial"/>
          <w:sz w:val="24"/>
          <w:szCs w:val="24"/>
        </w:rPr>
      </w:pPr>
      <w:r w:rsidRPr="00D305F5">
        <w:rPr>
          <w:rFonts w:ascii="Arial" w:eastAsia="Times New Roman" w:hAnsi="Arial" w:cs="Arial"/>
          <w:sz w:val="24"/>
          <w:szCs w:val="24"/>
        </w:rPr>
        <w:t>Children, Youth, and Elderly, including:</w:t>
      </w:r>
    </w:p>
    <w:p w14:paraId="247D700D"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Children and youth: all, ageing out of care, ages 0 to 18, and ages 19 to 29</w:t>
      </w:r>
    </w:p>
    <w:p w14:paraId="7B40687A"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Post-Secondary Students</w:t>
      </w:r>
    </w:p>
    <w:p w14:paraId="70F514A4"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Seniors and Elders: not in care, and living in care</w:t>
      </w:r>
    </w:p>
    <w:p w14:paraId="0525CF64" w14:textId="77777777" w:rsidR="00D305F5" w:rsidRDefault="00D305F5" w:rsidP="00D305F5">
      <w:pPr>
        <w:spacing w:after="0" w:line="240" w:lineRule="auto"/>
        <w:rPr>
          <w:rFonts w:ascii="Arial" w:eastAsia="Times New Roman" w:hAnsi="Arial" w:cs="Arial"/>
          <w:sz w:val="24"/>
          <w:szCs w:val="24"/>
        </w:rPr>
      </w:pPr>
    </w:p>
    <w:p w14:paraId="1691F3E4" w14:textId="77777777" w:rsidR="00D305F5" w:rsidRPr="00D305F5" w:rsidRDefault="00D305F5" w:rsidP="00D305F5">
      <w:pPr>
        <w:pStyle w:val="ListParagraph"/>
        <w:numPr>
          <w:ilvl w:val="0"/>
          <w:numId w:val="21"/>
        </w:numPr>
        <w:spacing w:after="0" w:line="240" w:lineRule="auto"/>
        <w:ind w:left="360"/>
        <w:rPr>
          <w:rFonts w:ascii="Arial" w:eastAsia="Times New Roman" w:hAnsi="Arial" w:cs="Arial"/>
          <w:sz w:val="24"/>
          <w:szCs w:val="24"/>
        </w:rPr>
      </w:pPr>
      <w:r w:rsidRPr="00D305F5">
        <w:rPr>
          <w:rFonts w:ascii="Arial" w:eastAsia="Times New Roman" w:hAnsi="Arial" w:cs="Arial"/>
          <w:sz w:val="24"/>
          <w:szCs w:val="24"/>
        </w:rPr>
        <w:t>Workers Who are Vulnerable, including:</w:t>
      </w:r>
    </w:p>
    <w:p w14:paraId="78462D05"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Essential Workers</w:t>
      </w:r>
    </w:p>
    <w:p w14:paraId="373A05B0"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Temporary Foreign Workers</w:t>
      </w:r>
    </w:p>
    <w:p w14:paraId="47F907EE"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Workers in the informal labour market</w:t>
      </w:r>
    </w:p>
    <w:p w14:paraId="37B20AE1"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 xml:space="preserve">Caregivers </w:t>
      </w:r>
    </w:p>
    <w:p w14:paraId="44583646" w14:textId="77777777" w:rsidR="00D305F5" w:rsidRDefault="00D305F5" w:rsidP="00D305F5">
      <w:pPr>
        <w:spacing w:after="0" w:line="240" w:lineRule="auto"/>
        <w:rPr>
          <w:rFonts w:ascii="Arial" w:eastAsia="Times New Roman" w:hAnsi="Arial" w:cs="Arial"/>
          <w:sz w:val="24"/>
          <w:szCs w:val="24"/>
        </w:rPr>
      </w:pPr>
    </w:p>
    <w:p w14:paraId="072701C9" w14:textId="77777777" w:rsidR="00D305F5" w:rsidRPr="00D305F5" w:rsidRDefault="00D305F5" w:rsidP="00D305F5">
      <w:pPr>
        <w:pStyle w:val="ListParagraph"/>
        <w:numPr>
          <w:ilvl w:val="0"/>
          <w:numId w:val="21"/>
        </w:numPr>
        <w:spacing w:after="0" w:line="240" w:lineRule="auto"/>
        <w:ind w:left="360"/>
        <w:rPr>
          <w:rFonts w:ascii="Arial" w:eastAsia="Times New Roman" w:hAnsi="Arial" w:cs="Arial"/>
          <w:sz w:val="24"/>
          <w:szCs w:val="24"/>
        </w:rPr>
      </w:pPr>
      <w:r w:rsidRPr="00D305F5">
        <w:rPr>
          <w:rFonts w:ascii="Arial" w:eastAsia="Times New Roman" w:hAnsi="Arial" w:cs="Arial"/>
          <w:sz w:val="24"/>
          <w:szCs w:val="24"/>
        </w:rPr>
        <w:t>Populations Requiring Specific Care or Supports:</w:t>
      </w:r>
    </w:p>
    <w:p w14:paraId="7E7C3423"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experiencing homelessness</w:t>
      </w:r>
    </w:p>
    <w:p w14:paraId="7DE924C9"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with low income or living in poverty</w:t>
      </w:r>
    </w:p>
    <w:p w14:paraId="74353FCF"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living with mental illness</w:t>
      </w:r>
    </w:p>
    <w:p w14:paraId="39DDCDBA"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struggling with addiction</w:t>
      </w:r>
    </w:p>
    <w:p w14:paraId="0D2A3735"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Persons with disabilities</w:t>
      </w:r>
    </w:p>
    <w:p w14:paraId="2794AF8B"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experiencing domestic or gender-based violence</w:t>
      </w:r>
    </w:p>
    <w:p w14:paraId="0E1F1F52"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People living in group homes or supportive living (under the age of 55)</w:t>
      </w:r>
    </w:p>
    <w:p w14:paraId="5B014CA0"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Prison populations (detained and incarcerated)</w:t>
      </w:r>
    </w:p>
    <w:p w14:paraId="5BE58D09" w14:textId="77777777" w:rsidR="00D305F5" w:rsidRDefault="00D305F5" w:rsidP="00D305F5">
      <w:pPr>
        <w:pStyle w:val="ListParagraph"/>
        <w:numPr>
          <w:ilvl w:val="1"/>
          <w:numId w:val="21"/>
        </w:numPr>
        <w:spacing w:after="0" w:line="240" w:lineRule="auto"/>
        <w:ind w:left="1080"/>
        <w:rPr>
          <w:rFonts w:ascii="Arial" w:eastAsia="Times New Roman" w:hAnsi="Arial" w:cs="Arial"/>
          <w:sz w:val="24"/>
          <w:szCs w:val="24"/>
        </w:rPr>
      </w:pPr>
      <w:r>
        <w:rPr>
          <w:rFonts w:ascii="Arial" w:eastAsia="Times New Roman" w:hAnsi="Arial" w:cs="Arial"/>
          <w:sz w:val="24"/>
          <w:szCs w:val="24"/>
        </w:rPr>
        <w:t>Veterans</w:t>
      </w:r>
    </w:p>
    <w:p w14:paraId="1060763A" w14:textId="77777777" w:rsidR="00D305F5" w:rsidRDefault="00D305F5" w:rsidP="00D305F5">
      <w:pPr>
        <w:spacing w:after="0" w:line="240" w:lineRule="auto"/>
        <w:rPr>
          <w:rFonts w:ascii="Arial" w:eastAsia="Calibri" w:hAnsi="Arial" w:cs="Arial"/>
          <w:color w:val="000000"/>
          <w:sz w:val="24"/>
          <w:szCs w:val="24"/>
        </w:rPr>
      </w:pPr>
    </w:p>
    <w:p w14:paraId="3D5FF219" w14:textId="77777777" w:rsidR="00D305F5" w:rsidRDefault="00D305F5" w:rsidP="00D305F5">
      <w:pPr>
        <w:pStyle w:val="Heading3"/>
        <w:rPr>
          <w:rFonts w:ascii="Calibri Light" w:eastAsia="Calibri" w:hAnsi="Calibri Light" w:cs="Tahoma"/>
          <w:color w:val="2E74B5"/>
          <w:sz w:val="26"/>
          <w:szCs w:val="26"/>
        </w:rPr>
      </w:pPr>
      <w:r>
        <w:rPr>
          <w:rFonts w:eastAsia="Calibri"/>
        </w:rPr>
        <w:t>Eligible Expenses for ECSF:</w:t>
      </w:r>
    </w:p>
    <w:p w14:paraId="24D78386" w14:textId="77777777" w:rsidR="00D305F5" w:rsidRDefault="00D305F5" w:rsidP="00D305F5">
      <w:pPr>
        <w:spacing w:after="0" w:line="240" w:lineRule="auto"/>
        <w:rPr>
          <w:rFonts w:ascii="Arial" w:eastAsia="Times New Roman" w:hAnsi="Arial" w:cs="Arial"/>
          <w:bCs/>
          <w:sz w:val="24"/>
          <w:szCs w:val="24"/>
        </w:rPr>
      </w:pPr>
    </w:p>
    <w:p w14:paraId="0495CE88" w14:textId="77777777" w:rsidR="00D5446B" w:rsidRDefault="00D305F5" w:rsidP="00D305F5">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All budget items must be project-related and incurred by March 31, 2021.  </w:t>
      </w:r>
    </w:p>
    <w:p w14:paraId="411F7175" w14:textId="77777777" w:rsidR="00D5446B" w:rsidRDefault="00D5446B" w:rsidP="00D305F5">
      <w:pPr>
        <w:spacing w:after="0" w:line="240" w:lineRule="auto"/>
        <w:rPr>
          <w:rFonts w:ascii="Arial" w:eastAsia="Times New Roman" w:hAnsi="Arial" w:cs="Arial"/>
          <w:bCs/>
          <w:sz w:val="24"/>
          <w:szCs w:val="24"/>
        </w:rPr>
      </w:pPr>
    </w:p>
    <w:p w14:paraId="7ADD685E" w14:textId="0220D887" w:rsidR="00D305F5" w:rsidRDefault="00D305F5" w:rsidP="00D305F5">
      <w:pPr>
        <w:spacing w:after="0" w:line="240" w:lineRule="auto"/>
        <w:rPr>
          <w:rFonts w:ascii="Arial" w:eastAsia="Calibri" w:hAnsi="Arial" w:cs="Arial"/>
          <w:color w:val="000000"/>
          <w:sz w:val="24"/>
          <w:szCs w:val="24"/>
        </w:rPr>
      </w:pPr>
      <w:r>
        <w:rPr>
          <w:rFonts w:ascii="Arial" w:eastAsia="Times New Roman" w:hAnsi="Arial" w:cs="Arial"/>
          <w:bCs/>
          <w:sz w:val="24"/>
          <w:szCs w:val="24"/>
        </w:rPr>
        <w:t>Eligible expenses include wages and benefits, professional fees, travel and accommodations, materials and supplies, printing and communication, equipment rental/lease/maintenance, administration costs, capital costs, and disability support for staff.  Purchase of lands or buildings, and any expenses that are covered by another funding source, are ineligible.</w:t>
      </w:r>
    </w:p>
    <w:p w14:paraId="1AF9E34C" w14:textId="77777777" w:rsidR="00D305F5" w:rsidRDefault="00D305F5" w:rsidP="00D305F5">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7F91ABE7" w14:textId="77777777" w:rsidR="00D305F5" w:rsidRDefault="00D305F5" w:rsidP="00D305F5">
      <w:pPr>
        <w:spacing w:after="0" w:line="240" w:lineRule="auto"/>
        <w:rPr>
          <w:rFonts w:ascii="Arial" w:hAnsi="Arial" w:cs="Arial"/>
          <w:color w:val="000000"/>
          <w:sz w:val="24"/>
          <w:szCs w:val="24"/>
        </w:rPr>
      </w:pPr>
    </w:p>
    <w:p w14:paraId="127CC032" w14:textId="579D3280" w:rsidR="00D305F5" w:rsidRDefault="00D305F5" w:rsidP="00D305F5">
      <w:pPr>
        <w:pStyle w:val="Heading3"/>
        <w:rPr>
          <w:rFonts w:eastAsia="Calibri"/>
        </w:rPr>
      </w:pPr>
      <w:r>
        <w:rPr>
          <w:rFonts w:eastAsia="Calibri"/>
        </w:rPr>
        <w:t>ECSF Fund Commitments:</w:t>
      </w:r>
    </w:p>
    <w:p w14:paraId="4FCCE2BB" w14:textId="77777777" w:rsidR="00D305F5" w:rsidRDefault="00D305F5" w:rsidP="00D305F5">
      <w:pPr>
        <w:spacing w:after="120" w:line="240" w:lineRule="auto"/>
        <w:rPr>
          <w:rFonts w:ascii="Arial" w:hAnsi="Arial" w:cs="Arial"/>
          <w:color w:val="000000"/>
          <w:sz w:val="24"/>
          <w:szCs w:val="24"/>
        </w:rPr>
      </w:pPr>
      <w:bookmarkStart w:id="0" w:name="_GoBack"/>
      <w:bookmarkEnd w:id="0"/>
      <w:r>
        <w:rPr>
          <w:rFonts w:ascii="Arial" w:hAnsi="Arial" w:cs="Arial"/>
          <w:color w:val="000000"/>
          <w:sz w:val="24"/>
          <w:szCs w:val="24"/>
        </w:rPr>
        <w:t>In order to seek ECSF funds, community service organizations will be asked to confirm that they:</w:t>
      </w:r>
    </w:p>
    <w:p w14:paraId="0222FD86" w14:textId="77777777" w:rsidR="00D305F5" w:rsidRDefault="00D305F5" w:rsidP="00D305F5">
      <w:pPr>
        <w:pStyle w:val="ListParagraph"/>
        <w:numPr>
          <w:ilvl w:val="0"/>
          <w:numId w:val="20"/>
        </w:numPr>
        <w:spacing w:after="120" w:line="240" w:lineRule="auto"/>
        <w:ind w:left="426"/>
        <w:contextualSpacing w:val="0"/>
        <w:rPr>
          <w:rFonts w:ascii="Arial" w:hAnsi="Arial" w:cs="Arial"/>
          <w:color w:val="000000"/>
          <w:sz w:val="24"/>
          <w:szCs w:val="24"/>
        </w:rPr>
      </w:pPr>
      <w:r>
        <w:rPr>
          <w:rFonts w:ascii="Arial" w:hAnsi="Arial" w:cs="Arial"/>
          <w:color w:val="000000"/>
          <w:sz w:val="24"/>
          <w:szCs w:val="24"/>
        </w:rPr>
        <w:t>are eligible to receive ECSF dollars</w:t>
      </w:r>
    </w:p>
    <w:p w14:paraId="1364AC23" w14:textId="77777777" w:rsidR="00D305F5" w:rsidRDefault="00D305F5" w:rsidP="00D305F5">
      <w:pPr>
        <w:pStyle w:val="ListParagraph"/>
        <w:numPr>
          <w:ilvl w:val="1"/>
          <w:numId w:val="20"/>
        </w:numPr>
        <w:spacing w:after="240" w:line="240" w:lineRule="auto"/>
        <w:ind w:left="851"/>
        <w:contextualSpacing w:val="0"/>
        <w:rPr>
          <w:rFonts w:ascii="Arial" w:hAnsi="Arial" w:cs="Arial"/>
          <w:color w:val="000000"/>
          <w:sz w:val="24"/>
          <w:szCs w:val="24"/>
        </w:rPr>
      </w:pPr>
      <w:r>
        <w:rPr>
          <w:rFonts w:ascii="Arial" w:hAnsi="Arial" w:cs="Arial"/>
          <w:color w:val="000000"/>
          <w:sz w:val="24"/>
          <w:szCs w:val="24"/>
        </w:rPr>
        <w:t xml:space="preserve">i.e. the community service organization is a qualified </w:t>
      </w:r>
      <w:proofErr w:type="spellStart"/>
      <w:r>
        <w:rPr>
          <w:rFonts w:ascii="Arial" w:hAnsi="Arial" w:cs="Arial"/>
          <w:color w:val="000000"/>
          <w:sz w:val="24"/>
          <w:szCs w:val="24"/>
        </w:rPr>
        <w:t>donee</w:t>
      </w:r>
      <w:proofErr w:type="spellEnd"/>
      <w:r>
        <w:rPr>
          <w:rFonts w:ascii="Arial" w:hAnsi="Arial" w:cs="Arial"/>
          <w:color w:val="000000"/>
          <w:sz w:val="24"/>
          <w:szCs w:val="24"/>
        </w:rPr>
        <w:t xml:space="preserve"> or </w:t>
      </w:r>
      <w:proofErr w:type="spellStart"/>
      <w:r>
        <w:rPr>
          <w:rFonts w:ascii="Arial" w:hAnsi="Arial" w:cs="Arial"/>
          <w:color w:val="000000"/>
          <w:sz w:val="24"/>
          <w:szCs w:val="24"/>
        </w:rPr>
        <w:t>nonprofit</w:t>
      </w:r>
      <w:proofErr w:type="spellEnd"/>
    </w:p>
    <w:p w14:paraId="182C85DF" w14:textId="77777777" w:rsidR="00D305F5" w:rsidRDefault="00D305F5" w:rsidP="00D305F5">
      <w:pPr>
        <w:pStyle w:val="ListParagraph"/>
        <w:numPr>
          <w:ilvl w:val="0"/>
          <w:numId w:val="20"/>
        </w:numPr>
        <w:spacing w:after="240" w:line="240" w:lineRule="auto"/>
        <w:ind w:left="426"/>
        <w:contextualSpacing w:val="0"/>
        <w:rPr>
          <w:rFonts w:ascii="Arial" w:hAnsi="Arial" w:cs="Arial"/>
          <w:color w:val="000000"/>
          <w:sz w:val="24"/>
          <w:szCs w:val="24"/>
        </w:rPr>
      </w:pPr>
      <w:r>
        <w:rPr>
          <w:rFonts w:ascii="Arial" w:hAnsi="Arial" w:cs="Arial"/>
          <w:color w:val="000000"/>
          <w:sz w:val="24"/>
          <w:szCs w:val="24"/>
        </w:rPr>
        <w:t>maintain a volunteer Board of Directors that meets regularly</w:t>
      </w:r>
    </w:p>
    <w:p w14:paraId="7F188D9B" w14:textId="77777777" w:rsidR="00D305F5" w:rsidRDefault="00D305F5" w:rsidP="00D305F5">
      <w:pPr>
        <w:pStyle w:val="ListParagraph"/>
        <w:numPr>
          <w:ilvl w:val="0"/>
          <w:numId w:val="20"/>
        </w:numPr>
        <w:spacing w:after="240" w:line="240" w:lineRule="auto"/>
        <w:ind w:left="426"/>
        <w:contextualSpacing w:val="0"/>
        <w:rPr>
          <w:rFonts w:ascii="Arial" w:hAnsi="Arial" w:cs="Arial"/>
          <w:color w:val="000000"/>
          <w:sz w:val="24"/>
          <w:szCs w:val="24"/>
        </w:rPr>
      </w:pPr>
      <w:r>
        <w:rPr>
          <w:rFonts w:ascii="Arial" w:hAnsi="Arial" w:cs="Arial"/>
          <w:color w:val="000000"/>
          <w:sz w:val="24"/>
          <w:szCs w:val="24"/>
        </w:rPr>
        <w:t>host a public Annual General Meeting</w:t>
      </w:r>
    </w:p>
    <w:p w14:paraId="6BFD6C17" w14:textId="77777777" w:rsidR="00D305F5" w:rsidRDefault="00D305F5" w:rsidP="00D305F5">
      <w:pPr>
        <w:pStyle w:val="ListParagraph"/>
        <w:numPr>
          <w:ilvl w:val="0"/>
          <w:numId w:val="20"/>
        </w:numPr>
        <w:spacing w:after="240" w:line="240" w:lineRule="auto"/>
        <w:ind w:left="426"/>
        <w:contextualSpacing w:val="0"/>
        <w:rPr>
          <w:rFonts w:ascii="Arial" w:hAnsi="Arial" w:cs="Arial"/>
          <w:color w:val="000000"/>
          <w:sz w:val="24"/>
          <w:szCs w:val="24"/>
        </w:rPr>
      </w:pPr>
      <w:r>
        <w:rPr>
          <w:rFonts w:ascii="Arial" w:hAnsi="Arial" w:cs="Arial"/>
          <w:color w:val="000000"/>
          <w:sz w:val="24"/>
          <w:szCs w:val="24"/>
        </w:rPr>
        <w:t>have financial statements that have been audited by a licensed public accountant or, for those with annual revenues less than $100,000, a financial review.</w:t>
      </w:r>
    </w:p>
    <w:p w14:paraId="7428A710" w14:textId="77777777" w:rsidR="00D305F5" w:rsidRPr="003E5F10" w:rsidRDefault="00D305F5" w:rsidP="00D305F5">
      <w:pPr>
        <w:pStyle w:val="ListParagraph"/>
        <w:numPr>
          <w:ilvl w:val="0"/>
          <w:numId w:val="20"/>
        </w:numPr>
        <w:spacing w:after="240" w:line="240" w:lineRule="auto"/>
        <w:ind w:left="426"/>
        <w:contextualSpacing w:val="0"/>
        <w:rPr>
          <w:rFonts w:ascii="Arial" w:hAnsi="Arial" w:cs="Arial"/>
          <w:sz w:val="24"/>
          <w:szCs w:val="24"/>
        </w:rPr>
      </w:pPr>
      <w:r w:rsidRPr="003E5F10">
        <w:rPr>
          <w:rFonts w:ascii="Arial" w:hAnsi="Arial" w:cs="Arial"/>
          <w:sz w:val="24"/>
          <w:szCs w:val="24"/>
        </w:rPr>
        <w:t>commit to providing eligible supports to one or more groups of vulnerable people, as defined by ESDC, with funding used in full by March 31, 2021</w:t>
      </w:r>
    </w:p>
    <w:p w14:paraId="569E02A1" w14:textId="77777777" w:rsidR="00D305F5" w:rsidRPr="003E5F10" w:rsidRDefault="00D305F5" w:rsidP="00D305F5">
      <w:pPr>
        <w:pStyle w:val="ListParagraph"/>
        <w:numPr>
          <w:ilvl w:val="0"/>
          <w:numId w:val="20"/>
        </w:numPr>
        <w:spacing w:after="120" w:line="240" w:lineRule="auto"/>
        <w:ind w:left="426"/>
        <w:contextualSpacing w:val="0"/>
        <w:rPr>
          <w:rFonts w:ascii="Arial" w:hAnsi="Arial" w:cs="Arial"/>
          <w:sz w:val="24"/>
          <w:szCs w:val="24"/>
        </w:rPr>
      </w:pPr>
      <w:r w:rsidRPr="003E5F10">
        <w:rPr>
          <w:rFonts w:ascii="Arial" w:hAnsi="Arial" w:cs="Arial"/>
          <w:sz w:val="24"/>
          <w:szCs w:val="24"/>
        </w:rPr>
        <w:t>have not already received funding for the same activities from the Government of Canada or other source, including Community Foundations, Canadian Red Cross, or United Way Centraide</w:t>
      </w:r>
    </w:p>
    <w:p w14:paraId="06D7B109" w14:textId="77777777" w:rsidR="00D305F5" w:rsidRPr="003E5F10" w:rsidRDefault="00D305F5" w:rsidP="00D305F5">
      <w:pPr>
        <w:pStyle w:val="ListParagraph"/>
        <w:numPr>
          <w:ilvl w:val="1"/>
          <w:numId w:val="20"/>
        </w:numPr>
        <w:spacing w:after="240" w:line="240" w:lineRule="auto"/>
        <w:ind w:left="851"/>
        <w:contextualSpacing w:val="0"/>
        <w:rPr>
          <w:rFonts w:ascii="Arial" w:hAnsi="Arial" w:cs="Arial"/>
          <w:sz w:val="24"/>
          <w:szCs w:val="24"/>
        </w:rPr>
      </w:pPr>
      <w:r w:rsidRPr="003E5F10">
        <w:rPr>
          <w:rFonts w:ascii="Arial" w:hAnsi="Arial" w:cs="Arial"/>
          <w:sz w:val="24"/>
          <w:szCs w:val="24"/>
        </w:rPr>
        <w:t>i.e. the same dollar of expense is not funded twice</w:t>
      </w:r>
    </w:p>
    <w:p w14:paraId="1BAF51E1" w14:textId="77777777" w:rsidR="00D305F5" w:rsidRPr="003E5F10" w:rsidRDefault="00D305F5" w:rsidP="00D305F5">
      <w:pPr>
        <w:pStyle w:val="ListParagraph"/>
        <w:numPr>
          <w:ilvl w:val="0"/>
          <w:numId w:val="20"/>
        </w:numPr>
        <w:spacing w:after="120" w:line="240" w:lineRule="auto"/>
        <w:ind w:left="426"/>
        <w:contextualSpacing w:val="0"/>
        <w:rPr>
          <w:rFonts w:ascii="Arial" w:hAnsi="Arial" w:cs="Arial"/>
          <w:sz w:val="24"/>
          <w:szCs w:val="24"/>
        </w:rPr>
      </w:pPr>
      <w:r w:rsidRPr="003E5F10">
        <w:rPr>
          <w:rFonts w:ascii="Arial" w:hAnsi="Arial" w:cs="Arial"/>
          <w:sz w:val="24"/>
          <w:szCs w:val="24"/>
        </w:rPr>
        <w:lastRenderedPageBreak/>
        <w:t>will not receive funding, for the activities proposed, in excess of 100% from government sources, including the ECSF</w:t>
      </w:r>
    </w:p>
    <w:p w14:paraId="2FE4F3A4" w14:textId="77777777" w:rsidR="00D305F5" w:rsidRPr="003E5F10" w:rsidRDefault="00D305F5" w:rsidP="00D305F5">
      <w:pPr>
        <w:pStyle w:val="ListParagraph"/>
        <w:numPr>
          <w:ilvl w:val="1"/>
          <w:numId w:val="20"/>
        </w:numPr>
        <w:spacing w:after="240" w:line="240" w:lineRule="auto"/>
        <w:ind w:left="851"/>
        <w:contextualSpacing w:val="0"/>
        <w:rPr>
          <w:rFonts w:ascii="Arial" w:hAnsi="Arial" w:cs="Arial"/>
          <w:sz w:val="24"/>
          <w:szCs w:val="24"/>
        </w:rPr>
      </w:pPr>
      <w:r w:rsidRPr="003E5F10">
        <w:rPr>
          <w:rFonts w:ascii="Arial" w:hAnsi="Arial" w:cs="Arial"/>
          <w:sz w:val="24"/>
          <w:szCs w:val="24"/>
        </w:rPr>
        <w:t>i.e. combined funding from all government sources does not total more than the expenses of the community service during the eligible period</w:t>
      </w:r>
    </w:p>
    <w:p w14:paraId="7D639851" w14:textId="77777777" w:rsidR="00D305F5" w:rsidRPr="003E5F10" w:rsidRDefault="00D305F5" w:rsidP="00D305F5">
      <w:pPr>
        <w:pStyle w:val="ListParagraph"/>
        <w:numPr>
          <w:ilvl w:val="0"/>
          <w:numId w:val="20"/>
        </w:numPr>
        <w:spacing w:after="240" w:line="240" w:lineRule="auto"/>
        <w:ind w:left="426"/>
        <w:contextualSpacing w:val="0"/>
        <w:rPr>
          <w:rFonts w:ascii="Arial" w:hAnsi="Arial" w:cs="Arial"/>
          <w:sz w:val="24"/>
          <w:szCs w:val="24"/>
        </w:rPr>
      </w:pPr>
      <w:r w:rsidRPr="003E5F10">
        <w:rPr>
          <w:rFonts w:ascii="Arial" w:hAnsi="Arial" w:cs="Arial"/>
          <w:sz w:val="24"/>
          <w:szCs w:val="24"/>
        </w:rPr>
        <w:t xml:space="preserve">grant permission for application/proposal details and contact information to be shared with CFC, and CRC for funding consideration in order to coordinate funding </w:t>
      </w:r>
    </w:p>
    <w:p w14:paraId="0C7F269E" w14:textId="77777777" w:rsidR="00CB716F" w:rsidRPr="00D305F5" w:rsidRDefault="00CB716F" w:rsidP="00D305F5">
      <w:pPr>
        <w:rPr>
          <w:lang w:val="en-CA"/>
        </w:rPr>
      </w:pPr>
    </w:p>
    <w:sectPr w:rsidR="00CB716F" w:rsidRPr="00D305F5" w:rsidSect="00665B6D">
      <w:headerReference w:type="default" r:id="rId14"/>
      <w:footerReference w:type="default" r:id="rId15"/>
      <w:headerReference w:type="first" r:id="rId16"/>
      <w:pgSz w:w="12240" w:h="15840"/>
      <w:pgMar w:top="1440" w:right="1440" w:bottom="1440" w:left="1440" w:header="864"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E168D" w14:textId="77777777" w:rsidR="00EB1AD6" w:rsidRDefault="00EB1AD6" w:rsidP="00D24FA8">
      <w:pPr>
        <w:spacing w:after="0" w:line="240" w:lineRule="auto"/>
      </w:pPr>
      <w:r>
        <w:separator/>
      </w:r>
    </w:p>
  </w:endnote>
  <w:endnote w:type="continuationSeparator" w:id="0">
    <w:p w14:paraId="3016D1EB" w14:textId="77777777" w:rsidR="00EB1AD6" w:rsidRDefault="00EB1AD6" w:rsidP="00D2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32187"/>
      <w:docPartObj>
        <w:docPartGallery w:val="Page Numbers (Bottom of Page)"/>
        <w:docPartUnique/>
      </w:docPartObj>
    </w:sdtPr>
    <w:sdtEndPr>
      <w:rPr>
        <w:noProof/>
      </w:rPr>
    </w:sdtEndPr>
    <w:sdtContent>
      <w:p w14:paraId="778693EB" w14:textId="059C4CBC" w:rsidR="00D24FA8" w:rsidRDefault="00D24FA8">
        <w:pPr>
          <w:pStyle w:val="Footer"/>
          <w:jc w:val="right"/>
        </w:pPr>
        <w:r>
          <w:fldChar w:fldCharType="begin"/>
        </w:r>
        <w:r>
          <w:instrText xml:space="preserve"> PAGE   \* MERGEFORMAT </w:instrText>
        </w:r>
        <w:r>
          <w:fldChar w:fldCharType="separate"/>
        </w:r>
        <w:r w:rsidR="00CF31EB">
          <w:rPr>
            <w:noProof/>
          </w:rPr>
          <w:t>0</w:t>
        </w:r>
        <w:r>
          <w:rPr>
            <w:noProof/>
          </w:rPr>
          <w:fldChar w:fldCharType="end"/>
        </w:r>
      </w:p>
    </w:sdtContent>
  </w:sdt>
  <w:p w14:paraId="3A994ACD" w14:textId="77777777" w:rsidR="00D24FA8" w:rsidRDefault="00D24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F433B" w14:textId="77777777" w:rsidR="00EB1AD6" w:rsidRDefault="00EB1AD6" w:rsidP="00D24FA8">
      <w:pPr>
        <w:spacing w:after="0" w:line="240" w:lineRule="auto"/>
      </w:pPr>
      <w:r>
        <w:separator/>
      </w:r>
    </w:p>
  </w:footnote>
  <w:footnote w:type="continuationSeparator" w:id="0">
    <w:p w14:paraId="22E20A81" w14:textId="77777777" w:rsidR="00EB1AD6" w:rsidRDefault="00EB1AD6" w:rsidP="00D24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450D" w14:textId="727FAD41" w:rsidR="00D24FA8" w:rsidRPr="004F66F2" w:rsidRDefault="00665B6D" w:rsidP="00665B6D">
    <w:pPr>
      <w:tabs>
        <w:tab w:val="left" w:pos="1843"/>
        <w:tab w:val="left" w:pos="2694"/>
      </w:tabs>
      <w:spacing w:after="240" w:line="240" w:lineRule="auto"/>
      <w:jc w:val="right"/>
      <w:rPr>
        <w:b/>
        <w:iCs/>
        <w:color w:val="44546A" w:themeColor="text2"/>
        <w:sz w:val="16"/>
        <w:szCs w:val="16"/>
      </w:rPr>
    </w:pPr>
    <w:r>
      <w:rPr>
        <w:noProof/>
        <w:lang w:val="en-GB" w:eastAsia="en-GB"/>
      </w:rPr>
      <w:drawing>
        <wp:inline distT="0" distB="0" distL="0" distR="0" wp14:anchorId="272699F7" wp14:editId="0EED5C3F">
          <wp:extent cx="1152144" cy="393192"/>
          <wp:effectExtent l="0" t="0" r="0" b="698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_horizontal_color_bi_ef_highres.jpg"/>
                  <pic:cNvPicPr/>
                </pic:nvPicPr>
                <pic:blipFill>
                  <a:blip r:embed="rId1">
                    <a:extLst>
                      <a:ext uri="{28A0092B-C50C-407E-A947-70E740481C1C}">
                        <a14:useLocalDpi xmlns:a14="http://schemas.microsoft.com/office/drawing/2010/main" val="0"/>
                      </a:ext>
                    </a:extLst>
                  </a:blip>
                  <a:stretch>
                    <a:fillRect/>
                  </a:stretch>
                </pic:blipFill>
                <pic:spPr>
                  <a:xfrm>
                    <a:off x="0" y="0"/>
                    <a:ext cx="1152144" cy="39319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DE77" w14:textId="0426604E" w:rsidR="00665B6D" w:rsidRDefault="00665B6D" w:rsidP="00665B6D">
    <w:pPr>
      <w:pStyle w:val="Header"/>
      <w:jc w:val="right"/>
    </w:pPr>
    <w:r>
      <w:rPr>
        <w:noProof/>
        <w:lang w:val="en-GB" w:eastAsia="en-GB"/>
      </w:rPr>
      <w:drawing>
        <wp:inline distT="0" distB="0" distL="0" distR="0" wp14:anchorId="4F493B1F" wp14:editId="26BC95A5">
          <wp:extent cx="1152144" cy="393192"/>
          <wp:effectExtent l="0" t="0" r="0" b="698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_horizontal_color_bi_ef_highres.jpg"/>
                  <pic:cNvPicPr/>
                </pic:nvPicPr>
                <pic:blipFill>
                  <a:blip r:embed="rId1">
                    <a:extLst>
                      <a:ext uri="{28A0092B-C50C-407E-A947-70E740481C1C}">
                        <a14:useLocalDpi xmlns:a14="http://schemas.microsoft.com/office/drawing/2010/main" val="0"/>
                      </a:ext>
                    </a:extLst>
                  </a:blip>
                  <a:stretch>
                    <a:fillRect/>
                  </a:stretch>
                </pic:blipFill>
                <pic:spPr>
                  <a:xfrm>
                    <a:off x="0" y="0"/>
                    <a:ext cx="1152144" cy="3931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266"/>
    <w:multiLevelType w:val="multilevel"/>
    <w:tmpl w:val="76D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7169A"/>
    <w:multiLevelType w:val="hybridMultilevel"/>
    <w:tmpl w:val="0C742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1A5DBA"/>
    <w:multiLevelType w:val="hybridMultilevel"/>
    <w:tmpl w:val="E3F484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0D84257B"/>
    <w:multiLevelType w:val="hybridMultilevel"/>
    <w:tmpl w:val="51DAAF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12527CF2"/>
    <w:multiLevelType w:val="hybridMultilevel"/>
    <w:tmpl w:val="69F43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916588"/>
    <w:multiLevelType w:val="hybridMultilevel"/>
    <w:tmpl w:val="C0D2F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15297A31"/>
    <w:multiLevelType w:val="hybridMultilevel"/>
    <w:tmpl w:val="1DA8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83406"/>
    <w:multiLevelType w:val="hybridMultilevel"/>
    <w:tmpl w:val="5DE0BA4E"/>
    <w:lvl w:ilvl="0" w:tplc="1438ECD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B2D5440"/>
    <w:multiLevelType w:val="hybridMultilevel"/>
    <w:tmpl w:val="0D2EF4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307F2628"/>
    <w:multiLevelType w:val="hybridMultilevel"/>
    <w:tmpl w:val="0A36F7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61E5FDA"/>
    <w:multiLevelType w:val="hybridMultilevel"/>
    <w:tmpl w:val="FC76C26C"/>
    <w:lvl w:ilvl="0" w:tplc="FFFFFFFF">
      <w:start w:val="1"/>
      <w:numFmt w:val="decimal"/>
      <w:lvlText w:val="%1."/>
      <w:lvlJc w:val="left"/>
      <w:pPr>
        <w:ind w:left="720" w:hanging="360"/>
      </w:pPr>
    </w:lvl>
    <w:lvl w:ilvl="1" w:tplc="09507DC6">
      <w:start w:val="1"/>
      <w:numFmt w:val="lowerLetter"/>
      <w:lvlText w:val="%2."/>
      <w:lvlJc w:val="left"/>
      <w:pPr>
        <w:ind w:left="1440" w:hanging="360"/>
      </w:pPr>
    </w:lvl>
    <w:lvl w:ilvl="2" w:tplc="81ECBCA8">
      <w:start w:val="1"/>
      <w:numFmt w:val="lowerRoman"/>
      <w:lvlText w:val="%3."/>
      <w:lvlJc w:val="right"/>
      <w:pPr>
        <w:ind w:left="2160" w:hanging="180"/>
      </w:pPr>
    </w:lvl>
    <w:lvl w:ilvl="3" w:tplc="00C4C4A0">
      <w:start w:val="1"/>
      <w:numFmt w:val="decimal"/>
      <w:lvlText w:val="%4."/>
      <w:lvlJc w:val="left"/>
      <w:pPr>
        <w:ind w:left="2880" w:hanging="360"/>
      </w:pPr>
    </w:lvl>
    <w:lvl w:ilvl="4" w:tplc="CD92F122">
      <w:start w:val="1"/>
      <w:numFmt w:val="lowerLetter"/>
      <w:lvlText w:val="%5."/>
      <w:lvlJc w:val="left"/>
      <w:pPr>
        <w:ind w:left="3600" w:hanging="360"/>
      </w:pPr>
    </w:lvl>
    <w:lvl w:ilvl="5" w:tplc="5B483F9E">
      <w:start w:val="1"/>
      <w:numFmt w:val="lowerRoman"/>
      <w:lvlText w:val="%6."/>
      <w:lvlJc w:val="right"/>
      <w:pPr>
        <w:ind w:left="4320" w:hanging="180"/>
      </w:pPr>
    </w:lvl>
    <w:lvl w:ilvl="6" w:tplc="1646E3F2">
      <w:start w:val="1"/>
      <w:numFmt w:val="decimal"/>
      <w:lvlText w:val="%7."/>
      <w:lvlJc w:val="left"/>
      <w:pPr>
        <w:ind w:left="5040" w:hanging="360"/>
      </w:pPr>
    </w:lvl>
    <w:lvl w:ilvl="7" w:tplc="749E6B94">
      <w:start w:val="1"/>
      <w:numFmt w:val="lowerLetter"/>
      <w:lvlText w:val="%8."/>
      <w:lvlJc w:val="left"/>
      <w:pPr>
        <w:ind w:left="5760" w:hanging="360"/>
      </w:pPr>
    </w:lvl>
    <w:lvl w:ilvl="8" w:tplc="96F22F5C">
      <w:start w:val="1"/>
      <w:numFmt w:val="lowerRoman"/>
      <w:lvlText w:val="%9."/>
      <w:lvlJc w:val="right"/>
      <w:pPr>
        <w:ind w:left="6480" w:hanging="180"/>
      </w:pPr>
    </w:lvl>
  </w:abstractNum>
  <w:abstractNum w:abstractNumId="11">
    <w:nsid w:val="3BCF2D05"/>
    <w:multiLevelType w:val="hybridMultilevel"/>
    <w:tmpl w:val="A67464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8900FB7"/>
    <w:multiLevelType w:val="hybridMultilevel"/>
    <w:tmpl w:val="2D22E2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4AA322A0"/>
    <w:multiLevelType w:val="multilevel"/>
    <w:tmpl w:val="15E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D6F5E"/>
    <w:multiLevelType w:val="hybridMultilevel"/>
    <w:tmpl w:val="88C6A9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541F7F5B"/>
    <w:multiLevelType w:val="multilevel"/>
    <w:tmpl w:val="230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817A6"/>
    <w:multiLevelType w:val="hybridMultilevel"/>
    <w:tmpl w:val="F4E0C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2CE3915"/>
    <w:multiLevelType w:val="hybridMultilevel"/>
    <w:tmpl w:val="4232033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9134FB0"/>
    <w:multiLevelType w:val="hybridMultilevel"/>
    <w:tmpl w:val="960E26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C704FCB"/>
    <w:multiLevelType w:val="multilevel"/>
    <w:tmpl w:val="ACA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813864"/>
    <w:multiLevelType w:val="hybridMultilevel"/>
    <w:tmpl w:val="0A7C746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19"/>
  </w:num>
  <w:num w:numId="4">
    <w:abstractNumId w:val="13"/>
  </w:num>
  <w:num w:numId="5">
    <w:abstractNumId w:val="0"/>
  </w:num>
  <w:num w:numId="6">
    <w:abstractNumId w:val="15"/>
  </w:num>
  <w:num w:numId="7">
    <w:abstractNumId w:val="6"/>
  </w:num>
  <w:num w:numId="8">
    <w:abstractNumId w:val="7"/>
  </w:num>
  <w:num w:numId="9">
    <w:abstractNumId w:val="10"/>
  </w:num>
  <w:num w:numId="10">
    <w:abstractNumId w:val="11"/>
  </w:num>
  <w:num w:numId="11">
    <w:abstractNumId w:val="17"/>
  </w:num>
  <w:num w:numId="12">
    <w:abstractNumId w:val="9"/>
  </w:num>
  <w:num w:numId="13">
    <w:abstractNumId w:val="5"/>
  </w:num>
  <w:num w:numId="14">
    <w:abstractNumId w:val="3"/>
  </w:num>
  <w:num w:numId="15">
    <w:abstractNumId w:val="8"/>
  </w:num>
  <w:num w:numId="16">
    <w:abstractNumId w:val="2"/>
  </w:num>
  <w:num w:numId="17">
    <w:abstractNumId w:val="16"/>
  </w:num>
  <w:num w:numId="18">
    <w:abstractNumId w:val="18"/>
  </w:num>
  <w:num w:numId="19">
    <w:abstractNumId w:val="14"/>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6B"/>
    <w:rsid w:val="000671FB"/>
    <w:rsid w:val="000A0989"/>
    <w:rsid w:val="000B5241"/>
    <w:rsid w:val="001065DB"/>
    <w:rsid w:val="00107E9B"/>
    <w:rsid w:val="00113016"/>
    <w:rsid w:val="001D57B4"/>
    <w:rsid w:val="001D5CB4"/>
    <w:rsid w:val="001E649E"/>
    <w:rsid w:val="00201EB1"/>
    <w:rsid w:val="00220C9E"/>
    <w:rsid w:val="0026121E"/>
    <w:rsid w:val="0026548F"/>
    <w:rsid w:val="00301150"/>
    <w:rsid w:val="00302B10"/>
    <w:rsid w:val="00353766"/>
    <w:rsid w:val="003933F8"/>
    <w:rsid w:val="003A5681"/>
    <w:rsid w:val="003E5F10"/>
    <w:rsid w:val="003F2B22"/>
    <w:rsid w:val="004246D1"/>
    <w:rsid w:val="00475034"/>
    <w:rsid w:val="004F66F2"/>
    <w:rsid w:val="005676E2"/>
    <w:rsid w:val="005733D4"/>
    <w:rsid w:val="005B1507"/>
    <w:rsid w:val="005C47D3"/>
    <w:rsid w:val="00621F46"/>
    <w:rsid w:val="00622E6F"/>
    <w:rsid w:val="00623BC4"/>
    <w:rsid w:val="00665B6D"/>
    <w:rsid w:val="00674C60"/>
    <w:rsid w:val="0068658A"/>
    <w:rsid w:val="00695E23"/>
    <w:rsid w:val="006E3444"/>
    <w:rsid w:val="0070136B"/>
    <w:rsid w:val="007756E6"/>
    <w:rsid w:val="007E1616"/>
    <w:rsid w:val="00820D18"/>
    <w:rsid w:val="00850361"/>
    <w:rsid w:val="00881550"/>
    <w:rsid w:val="008838DE"/>
    <w:rsid w:val="008E1D33"/>
    <w:rsid w:val="008E68E0"/>
    <w:rsid w:val="00903FE6"/>
    <w:rsid w:val="00975730"/>
    <w:rsid w:val="00992D70"/>
    <w:rsid w:val="009957A8"/>
    <w:rsid w:val="009B568C"/>
    <w:rsid w:val="009C6782"/>
    <w:rsid w:val="00A52D1E"/>
    <w:rsid w:val="00A71BEE"/>
    <w:rsid w:val="00B12011"/>
    <w:rsid w:val="00B176BD"/>
    <w:rsid w:val="00B9522A"/>
    <w:rsid w:val="00BC2BC6"/>
    <w:rsid w:val="00BC4084"/>
    <w:rsid w:val="00BF6619"/>
    <w:rsid w:val="00C06C06"/>
    <w:rsid w:val="00C34022"/>
    <w:rsid w:val="00C461EF"/>
    <w:rsid w:val="00CB716F"/>
    <w:rsid w:val="00CE3134"/>
    <w:rsid w:val="00CF31EB"/>
    <w:rsid w:val="00D24FA8"/>
    <w:rsid w:val="00D305F5"/>
    <w:rsid w:val="00D5446B"/>
    <w:rsid w:val="00D76FEC"/>
    <w:rsid w:val="00DE3836"/>
    <w:rsid w:val="00E1443D"/>
    <w:rsid w:val="00E37649"/>
    <w:rsid w:val="00E723CF"/>
    <w:rsid w:val="00E765A4"/>
    <w:rsid w:val="00EB1AD6"/>
    <w:rsid w:val="00EE0AC4"/>
    <w:rsid w:val="00F435BE"/>
    <w:rsid w:val="00F6674C"/>
    <w:rsid w:val="00FC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B58F0"/>
  <w15:chartTrackingRefBased/>
  <w15:docId w15:val="{72E2B288-738A-4506-886C-472E09C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36B"/>
  </w:style>
  <w:style w:type="paragraph" w:styleId="Heading1">
    <w:name w:val="heading 1"/>
    <w:basedOn w:val="Normal"/>
    <w:next w:val="Normal"/>
    <w:link w:val="Heading1Char"/>
    <w:uiPriority w:val="9"/>
    <w:qFormat/>
    <w:rsid w:val="00D24FA8"/>
    <w:pPr>
      <w:keepNext/>
      <w:keepLines/>
      <w:spacing w:before="400" w:after="40" w:line="240" w:lineRule="auto"/>
      <w:outlineLvl w:val="0"/>
    </w:pPr>
    <w:rPr>
      <w:rFonts w:asciiTheme="majorHAnsi" w:eastAsiaTheme="majorEastAsia" w:hAnsiTheme="majorHAnsi" w:cstheme="majorBidi"/>
      <w:color w:val="DA291C" w:themeColor="accent1"/>
      <w:sz w:val="36"/>
      <w:szCs w:val="36"/>
    </w:rPr>
  </w:style>
  <w:style w:type="paragraph" w:styleId="Heading2">
    <w:name w:val="heading 2"/>
    <w:basedOn w:val="Normal"/>
    <w:next w:val="Normal"/>
    <w:link w:val="Heading2Char"/>
    <w:uiPriority w:val="9"/>
    <w:unhideWhenUsed/>
    <w:qFormat/>
    <w:rsid w:val="0070136B"/>
    <w:pPr>
      <w:keepNext/>
      <w:keepLines/>
      <w:spacing w:before="40" w:after="0" w:line="240" w:lineRule="auto"/>
      <w:outlineLvl w:val="1"/>
    </w:pPr>
    <w:rPr>
      <w:rFonts w:asciiTheme="majorHAnsi" w:eastAsiaTheme="majorEastAsia" w:hAnsiTheme="majorHAnsi" w:cstheme="majorBidi"/>
      <w:color w:val="A31E15" w:themeColor="accent1" w:themeShade="BF"/>
      <w:sz w:val="32"/>
      <w:szCs w:val="32"/>
    </w:rPr>
  </w:style>
  <w:style w:type="paragraph" w:styleId="Heading3">
    <w:name w:val="heading 3"/>
    <w:basedOn w:val="Normal"/>
    <w:next w:val="Normal"/>
    <w:link w:val="Heading3Char"/>
    <w:uiPriority w:val="9"/>
    <w:unhideWhenUsed/>
    <w:qFormat/>
    <w:rsid w:val="00CB716F"/>
    <w:pPr>
      <w:keepNext/>
      <w:keepLines/>
      <w:spacing w:before="40" w:after="0" w:line="240" w:lineRule="auto"/>
      <w:outlineLvl w:val="2"/>
    </w:pPr>
    <w:rPr>
      <w:rFonts w:asciiTheme="majorHAnsi" w:eastAsiaTheme="majorEastAsia" w:hAnsiTheme="majorHAnsi" w:cstheme="majorBidi"/>
      <w:color w:val="2C2A29"/>
      <w:sz w:val="24"/>
      <w:szCs w:val="28"/>
    </w:rPr>
  </w:style>
  <w:style w:type="paragraph" w:styleId="Heading4">
    <w:name w:val="heading 4"/>
    <w:basedOn w:val="Normal"/>
    <w:next w:val="Normal"/>
    <w:link w:val="Heading4Char"/>
    <w:uiPriority w:val="9"/>
    <w:unhideWhenUsed/>
    <w:qFormat/>
    <w:rsid w:val="0070136B"/>
    <w:pPr>
      <w:keepNext/>
      <w:keepLines/>
      <w:spacing w:before="40" w:after="0"/>
      <w:outlineLvl w:val="3"/>
    </w:pPr>
    <w:rPr>
      <w:rFonts w:asciiTheme="majorHAnsi" w:eastAsiaTheme="majorEastAsia" w:hAnsiTheme="majorHAnsi" w:cstheme="majorBidi"/>
      <w:color w:val="A31E15" w:themeColor="accent1" w:themeShade="BF"/>
      <w:sz w:val="24"/>
      <w:szCs w:val="24"/>
    </w:rPr>
  </w:style>
  <w:style w:type="paragraph" w:styleId="Heading5">
    <w:name w:val="heading 5"/>
    <w:basedOn w:val="Normal"/>
    <w:next w:val="Normal"/>
    <w:link w:val="Heading5Char"/>
    <w:uiPriority w:val="9"/>
    <w:semiHidden/>
    <w:unhideWhenUsed/>
    <w:qFormat/>
    <w:rsid w:val="0070136B"/>
    <w:pPr>
      <w:keepNext/>
      <w:keepLines/>
      <w:spacing w:before="40" w:after="0"/>
      <w:outlineLvl w:val="4"/>
    </w:pPr>
    <w:rPr>
      <w:rFonts w:asciiTheme="majorHAnsi" w:eastAsiaTheme="majorEastAsia" w:hAnsiTheme="majorHAnsi" w:cstheme="majorBidi"/>
      <w:caps/>
      <w:color w:val="A31E15" w:themeColor="accent1" w:themeShade="BF"/>
    </w:rPr>
  </w:style>
  <w:style w:type="paragraph" w:styleId="Heading6">
    <w:name w:val="heading 6"/>
    <w:basedOn w:val="Normal"/>
    <w:next w:val="Normal"/>
    <w:link w:val="Heading6Char"/>
    <w:uiPriority w:val="9"/>
    <w:semiHidden/>
    <w:unhideWhenUsed/>
    <w:qFormat/>
    <w:rsid w:val="0070136B"/>
    <w:pPr>
      <w:keepNext/>
      <w:keepLines/>
      <w:spacing w:before="40" w:after="0"/>
      <w:outlineLvl w:val="5"/>
    </w:pPr>
    <w:rPr>
      <w:rFonts w:asciiTheme="majorHAnsi" w:eastAsiaTheme="majorEastAsia" w:hAnsiTheme="majorHAnsi" w:cstheme="majorBidi"/>
      <w:i/>
      <w:iCs/>
      <w:caps/>
      <w:color w:val="6D140E" w:themeColor="accent1" w:themeShade="80"/>
    </w:rPr>
  </w:style>
  <w:style w:type="paragraph" w:styleId="Heading7">
    <w:name w:val="heading 7"/>
    <w:basedOn w:val="Normal"/>
    <w:next w:val="Normal"/>
    <w:link w:val="Heading7Char"/>
    <w:uiPriority w:val="9"/>
    <w:semiHidden/>
    <w:unhideWhenUsed/>
    <w:qFormat/>
    <w:rsid w:val="0070136B"/>
    <w:pPr>
      <w:keepNext/>
      <w:keepLines/>
      <w:spacing w:before="40" w:after="0"/>
      <w:outlineLvl w:val="6"/>
    </w:pPr>
    <w:rPr>
      <w:rFonts w:asciiTheme="majorHAnsi" w:eastAsiaTheme="majorEastAsia" w:hAnsiTheme="majorHAnsi" w:cstheme="majorBidi"/>
      <w:b/>
      <w:bCs/>
      <w:color w:val="6D140E" w:themeColor="accent1" w:themeShade="80"/>
    </w:rPr>
  </w:style>
  <w:style w:type="paragraph" w:styleId="Heading8">
    <w:name w:val="heading 8"/>
    <w:basedOn w:val="Normal"/>
    <w:next w:val="Normal"/>
    <w:link w:val="Heading8Char"/>
    <w:uiPriority w:val="9"/>
    <w:semiHidden/>
    <w:unhideWhenUsed/>
    <w:qFormat/>
    <w:rsid w:val="0070136B"/>
    <w:pPr>
      <w:keepNext/>
      <w:keepLines/>
      <w:spacing w:before="40" w:after="0"/>
      <w:outlineLvl w:val="7"/>
    </w:pPr>
    <w:rPr>
      <w:rFonts w:asciiTheme="majorHAnsi" w:eastAsiaTheme="majorEastAsia" w:hAnsiTheme="majorHAnsi" w:cstheme="majorBidi"/>
      <w:b/>
      <w:bCs/>
      <w:i/>
      <w:iCs/>
      <w:color w:val="6D140E" w:themeColor="accent1" w:themeShade="80"/>
    </w:rPr>
  </w:style>
  <w:style w:type="paragraph" w:styleId="Heading9">
    <w:name w:val="heading 9"/>
    <w:basedOn w:val="Normal"/>
    <w:next w:val="Normal"/>
    <w:link w:val="Heading9Char"/>
    <w:uiPriority w:val="9"/>
    <w:semiHidden/>
    <w:unhideWhenUsed/>
    <w:qFormat/>
    <w:rsid w:val="0070136B"/>
    <w:pPr>
      <w:keepNext/>
      <w:keepLines/>
      <w:spacing w:before="40" w:after="0"/>
      <w:outlineLvl w:val="8"/>
    </w:pPr>
    <w:rPr>
      <w:rFonts w:asciiTheme="majorHAnsi" w:eastAsiaTheme="majorEastAsia" w:hAnsiTheme="majorHAnsi" w:cstheme="majorBidi"/>
      <w:i/>
      <w:iCs/>
      <w:color w:val="6D140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FA8"/>
    <w:rPr>
      <w:rFonts w:asciiTheme="majorHAnsi" w:eastAsiaTheme="majorEastAsia" w:hAnsiTheme="majorHAnsi" w:cstheme="majorBidi"/>
      <w:color w:val="DA291C" w:themeColor="accent1"/>
      <w:sz w:val="36"/>
      <w:szCs w:val="36"/>
    </w:rPr>
  </w:style>
  <w:style w:type="character" w:customStyle="1" w:styleId="Heading2Char">
    <w:name w:val="Heading 2 Char"/>
    <w:basedOn w:val="DefaultParagraphFont"/>
    <w:link w:val="Heading2"/>
    <w:qFormat/>
    <w:rsid w:val="0070136B"/>
    <w:rPr>
      <w:rFonts w:asciiTheme="majorHAnsi" w:eastAsiaTheme="majorEastAsia" w:hAnsiTheme="majorHAnsi" w:cstheme="majorBidi"/>
      <w:color w:val="A31E15" w:themeColor="accent1" w:themeShade="BF"/>
      <w:sz w:val="32"/>
      <w:szCs w:val="32"/>
    </w:rPr>
  </w:style>
  <w:style w:type="character" w:customStyle="1" w:styleId="Heading3Char">
    <w:name w:val="Heading 3 Char"/>
    <w:basedOn w:val="DefaultParagraphFont"/>
    <w:link w:val="Heading3"/>
    <w:uiPriority w:val="9"/>
    <w:rsid w:val="00CB716F"/>
    <w:rPr>
      <w:rFonts w:asciiTheme="majorHAnsi" w:eastAsiaTheme="majorEastAsia" w:hAnsiTheme="majorHAnsi" w:cstheme="majorBidi"/>
      <w:color w:val="2C2A29"/>
      <w:sz w:val="24"/>
      <w:szCs w:val="28"/>
    </w:rPr>
  </w:style>
  <w:style w:type="character" w:customStyle="1" w:styleId="Heading4Char">
    <w:name w:val="Heading 4 Char"/>
    <w:basedOn w:val="DefaultParagraphFont"/>
    <w:link w:val="Heading4"/>
    <w:uiPriority w:val="9"/>
    <w:rsid w:val="0070136B"/>
    <w:rPr>
      <w:rFonts w:asciiTheme="majorHAnsi" w:eastAsiaTheme="majorEastAsia" w:hAnsiTheme="majorHAnsi" w:cstheme="majorBidi"/>
      <w:color w:val="A31E15" w:themeColor="accent1" w:themeShade="BF"/>
      <w:sz w:val="24"/>
      <w:szCs w:val="24"/>
    </w:rPr>
  </w:style>
  <w:style w:type="character" w:customStyle="1" w:styleId="Heading5Char">
    <w:name w:val="Heading 5 Char"/>
    <w:basedOn w:val="DefaultParagraphFont"/>
    <w:link w:val="Heading5"/>
    <w:uiPriority w:val="9"/>
    <w:semiHidden/>
    <w:rsid w:val="0070136B"/>
    <w:rPr>
      <w:rFonts w:asciiTheme="majorHAnsi" w:eastAsiaTheme="majorEastAsia" w:hAnsiTheme="majorHAnsi" w:cstheme="majorBidi"/>
      <w:caps/>
      <w:color w:val="A31E15" w:themeColor="accent1" w:themeShade="BF"/>
    </w:rPr>
  </w:style>
  <w:style w:type="character" w:customStyle="1" w:styleId="Heading6Char">
    <w:name w:val="Heading 6 Char"/>
    <w:basedOn w:val="DefaultParagraphFont"/>
    <w:link w:val="Heading6"/>
    <w:uiPriority w:val="9"/>
    <w:semiHidden/>
    <w:rsid w:val="0070136B"/>
    <w:rPr>
      <w:rFonts w:asciiTheme="majorHAnsi" w:eastAsiaTheme="majorEastAsia" w:hAnsiTheme="majorHAnsi" w:cstheme="majorBidi"/>
      <w:i/>
      <w:iCs/>
      <w:caps/>
      <w:color w:val="6D140E" w:themeColor="accent1" w:themeShade="80"/>
    </w:rPr>
  </w:style>
  <w:style w:type="character" w:customStyle="1" w:styleId="Heading7Char">
    <w:name w:val="Heading 7 Char"/>
    <w:basedOn w:val="DefaultParagraphFont"/>
    <w:link w:val="Heading7"/>
    <w:uiPriority w:val="9"/>
    <w:semiHidden/>
    <w:rsid w:val="0070136B"/>
    <w:rPr>
      <w:rFonts w:asciiTheme="majorHAnsi" w:eastAsiaTheme="majorEastAsia" w:hAnsiTheme="majorHAnsi" w:cstheme="majorBidi"/>
      <w:b/>
      <w:bCs/>
      <w:color w:val="6D140E" w:themeColor="accent1" w:themeShade="80"/>
    </w:rPr>
  </w:style>
  <w:style w:type="character" w:customStyle="1" w:styleId="Heading8Char">
    <w:name w:val="Heading 8 Char"/>
    <w:basedOn w:val="DefaultParagraphFont"/>
    <w:link w:val="Heading8"/>
    <w:uiPriority w:val="9"/>
    <w:semiHidden/>
    <w:rsid w:val="0070136B"/>
    <w:rPr>
      <w:rFonts w:asciiTheme="majorHAnsi" w:eastAsiaTheme="majorEastAsia" w:hAnsiTheme="majorHAnsi" w:cstheme="majorBidi"/>
      <w:b/>
      <w:bCs/>
      <w:i/>
      <w:iCs/>
      <w:color w:val="6D140E" w:themeColor="accent1" w:themeShade="80"/>
    </w:rPr>
  </w:style>
  <w:style w:type="character" w:customStyle="1" w:styleId="Heading9Char">
    <w:name w:val="Heading 9 Char"/>
    <w:basedOn w:val="DefaultParagraphFont"/>
    <w:link w:val="Heading9"/>
    <w:uiPriority w:val="9"/>
    <w:semiHidden/>
    <w:rsid w:val="0070136B"/>
    <w:rPr>
      <w:rFonts w:asciiTheme="majorHAnsi" w:eastAsiaTheme="majorEastAsia" w:hAnsiTheme="majorHAnsi" w:cstheme="majorBidi"/>
      <w:i/>
      <w:iCs/>
      <w:color w:val="6D140E" w:themeColor="accent1" w:themeShade="80"/>
    </w:rPr>
  </w:style>
  <w:style w:type="paragraph" w:styleId="Caption">
    <w:name w:val="caption"/>
    <w:basedOn w:val="Normal"/>
    <w:next w:val="Normal"/>
    <w:uiPriority w:val="35"/>
    <w:semiHidden/>
    <w:unhideWhenUsed/>
    <w:qFormat/>
    <w:rsid w:val="0070136B"/>
    <w:pPr>
      <w:spacing w:line="240" w:lineRule="auto"/>
    </w:pPr>
    <w:rPr>
      <w:b/>
      <w:bCs/>
      <w:smallCaps/>
      <w:color w:val="44546A" w:themeColor="text2"/>
    </w:rPr>
  </w:style>
  <w:style w:type="paragraph" w:styleId="Title">
    <w:name w:val="Title"/>
    <w:basedOn w:val="Normal"/>
    <w:next w:val="Normal"/>
    <w:link w:val="TitleChar"/>
    <w:uiPriority w:val="10"/>
    <w:qFormat/>
    <w:rsid w:val="00D24FA8"/>
    <w:pPr>
      <w:spacing w:after="0" w:line="204" w:lineRule="auto"/>
      <w:contextualSpacing/>
    </w:pPr>
    <w:rPr>
      <w:rFonts w:asciiTheme="majorHAnsi" w:eastAsiaTheme="majorEastAsia" w:hAnsiTheme="majorHAnsi" w:cstheme="majorBidi"/>
      <w:caps/>
      <w:color w:val="707372"/>
      <w:spacing w:val="-15"/>
      <w:sz w:val="72"/>
      <w:szCs w:val="72"/>
    </w:rPr>
  </w:style>
  <w:style w:type="character" w:customStyle="1" w:styleId="TitleChar">
    <w:name w:val="Title Char"/>
    <w:basedOn w:val="DefaultParagraphFont"/>
    <w:link w:val="Title"/>
    <w:uiPriority w:val="10"/>
    <w:rsid w:val="00D24FA8"/>
    <w:rPr>
      <w:rFonts w:asciiTheme="majorHAnsi" w:eastAsiaTheme="majorEastAsia" w:hAnsiTheme="majorHAnsi" w:cstheme="majorBidi"/>
      <w:caps/>
      <w:color w:val="707372"/>
      <w:spacing w:val="-15"/>
      <w:sz w:val="72"/>
      <w:szCs w:val="72"/>
    </w:rPr>
  </w:style>
  <w:style w:type="paragraph" w:styleId="Subtitle">
    <w:name w:val="Subtitle"/>
    <w:basedOn w:val="Normal"/>
    <w:next w:val="Normal"/>
    <w:link w:val="SubtitleChar"/>
    <w:uiPriority w:val="11"/>
    <w:qFormat/>
    <w:rsid w:val="00CB716F"/>
    <w:pPr>
      <w:numPr>
        <w:ilvl w:val="1"/>
      </w:numPr>
      <w:spacing w:after="240" w:line="240" w:lineRule="auto"/>
    </w:pPr>
    <w:rPr>
      <w:rFonts w:asciiTheme="majorHAnsi" w:eastAsiaTheme="majorEastAsia" w:hAnsiTheme="majorHAnsi" w:cstheme="majorBidi"/>
      <w:sz w:val="28"/>
      <w:szCs w:val="28"/>
      <w:u w:val="single"/>
    </w:rPr>
  </w:style>
  <w:style w:type="character" w:customStyle="1" w:styleId="SubtitleChar">
    <w:name w:val="Subtitle Char"/>
    <w:basedOn w:val="DefaultParagraphFont"/>
    <w:link w:val="Subtitle"/>
    <w:uiPriority w:val="11"/>
    <w:rsid w:val="00CB716F"/>
    <w:rPr>
      <w:rFonts w:asciiTheme="majorHAnsi" w:eastAsiaTheme="majorEastAsia" w:hAnsiTheme="majorHAnsi" w:cstheme="majorBidi"/>
      <w:sz w:val="28"/>
      <w:szCs w:val="28"/>
      <w:u w:val="single"/>
    </w:rPr>
  </w:style>
  <w:style w:type="character" w:styleId="Strong">
    <w:name w:val="Strong"/>
    <w:basedOn w:val="DefaultParagraphFont"/>
    <w:uiPriority w:val="22"/>
    <w:qFormat/>
    <w:rsid w:val="007756E6"/>
    <w:rPr>
      <w:rFonts w:ascii="Arial" w:hAnsi="Arial"/>
      <w:b/>
      <w:bCs/>
    </w:rPr>
  </w:style>
  <w:style w:type="character" w:styleId="Emphasis">
    <w:name w:val="Emphasis"/>
    <w:basedOn w:val="DefaultParagraphFont"/>
    <w:uiPriority w:val="20"/>
    <w:qFormat/>
    <w:rsid w:val="0070136B"/>
    <w:rPr>
      <w:i/>
      <w:iCs/>
    </w:rPr>
  </w:style>
  <w:style w:type="paragraph" w:styleId="NoSpacing">
    <w:name w:val="No Spacing"/>
    <w:link w:val="NoSpacingChar"/>
    <w:uiPriority w:val="1"/>
    <w:qFormat/>
    <w:rsid w:val="0070136B"/>
    <w:pPr>
      <w:spacing w:after="0" w:line="240" w:lineRule="auto"/>
    </w:pPr>
  </w:style>
  <w:style w:type="paragraph" w:styleId="Quote">
    <w:name w:val="Quote"/>
    <w:basedOn w:val="Normal"/>
    <w:next w:val="Normal"/>
    <w:link w:val="QuoteChar"/>
    <w:uiPriority w:val="29"/>
    <w:qFormat/>
    <w:rsid w:val="0070136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0136B"/>
    <w:rPr>
      <w:color w:val="44546A" w:themeColor="text2"/>
      <w:sz w:val="24"/>
      <w:szCs w:val="24"/>
    </w:rPr>
  </w:style>
  <w:style w:type="paragraph" w:styleId="IntenseQuote">
    <w:name w:val="Intense Quote"/>
    <w:basedOn w:val="Normal"/>
    <w:next w:val="Normal"/>
    <w:link w:val="IntenseQuoteChar"/>
    <w:uiPriority w:val="30"/>
    <w:qFormat/>
    <w:rsid w:val="0070136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0136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0136B"/>
    <w:rPr>
      <w:i/>
      <w:iCs/>
      <w:color w:val="595959" w:themeColor="text1" w:themeTint="A6"/>
    </w:rPr>
  </w:style>
  <w:style w:type="character" w:styleId="IntenseEmphasis">
    <w:name w:val="Intense Emphasis"/>
    <w:basedOn w:val="DefaultParagraphFont"/>
    <w:uiPriority w:val="21"/>
    <w:qFormat/>
    <w:rsid w:val="0070136B"/>
    <w:rPr>
      <w:b/>
      <w:bCs/>
      <w:i/>
      <w:iCs/>
    </w:rPr>
  </w:style>
  <w:style w:type="character" w:styleId="SubtleReference">
    <w:name w:val="Subtle Reference"/>
    <w:basedOn w:val="DefaultParagraphFont"/>
    <w:uiPriority w:val="31"/>
    <w:qFormat/>
    <w:rsid w:val="007013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136B"/>
    <w:rPr>
      <w:b/>
      <w:bCs/>
      <w:smallCaps/>
      <w:color w:val="44546A" w:themeColor="text2"/>
      <w:u w:val="single"/>
    </w:rPr>
  </w:style>
  <w:style w:type="character" w:styleId="BookTitle">
    <w:name w:val="Book Title"/>
    <w:basedOn w:val="DefaultParagraphFont"/>
    <w:uiPriority w:val="33"/>
    <w:qFormat/>
    <w:rsid w:val="0070136B"/>
    <w:rPr>
      <w:b/>
      <w:bCs/>
      <w:smallCaps/>
      <w:spacing w:val="10"/>
    </w:rPr>
  </w:style>
  <w:style w:type="paragraph" w:styleId="TOCHeading">
    <w:name w:val="TOC Heading"/>
    <w:basedOn w:val="Heading1"/>
    <w:next w:val="Normal"/>
    <w:uiPriority w:val="39"/>
    <w:unhideWhenUsed/>
    <w:qFormat/>
    <w:rsid w:val="0070136B"/>
    <w:pPr>
      <w:outlineLvl w:val="9"/>
    </w:pPr>
  </w:style>
  <w:style w:type="paragraph" w:styleId="BalloonText">
    <w:name w:val="Balloon Text"/>
    <w:basedOn w:val="Normal"/>
    <w:link w:val="BalloonTextChar"/>
    <w:uiPriority w:val="99"/>
    <w:semiHidden/>
    <w:unhideWhenUsed/>
    <w:rsid w:val="00701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6B"/>
    <w:rPr>
      <w:rFonts w:ascii="Segoe UI" w:hAnsi="Segoe UI" w:cs="Segoe UI"/>
      <w:sz w:val="18"/>
      <w:szCs w:val="18"/>
    </w:rPr>
  </w:style>
  <w:style w:type="character" w:customStyle="1" w:styleId="NoSpacingChar">
    <w:name w:val="No Spacing Char"/>
    <w:basedOn w:val="DefaultParagraphFont"/>
    <w:link w:val="NoSpacing"/>
    <w:uiPriority w:val="1"/>
    <w:rsid w:val="00EE0AC4"/>
  </w:style>
  <w:style w:type="paragraph" w:styleId="Header">
    <w:name w:val="header"/>
    <w:basedOn w:val="Normal"/>
    <w:link w:val="HeaderChar"/>
    <w:unhideWhenUsed/>
    <w:rsid w:val="00D24FA8"/>
    <w:pPr>
      <w:tabs>
        <w:tab w:val="center" w:pos="4680"/>
        <w:tab w:val="right" w:pos="9360"/>
      </w:tabs>
      <w:spacing w:after="0" w:line="240" w:lineRule="auto"/>
    </w:pPr>
  </w:style>
  <w:style w:type="character" w:customStyle="1" w:styleId="HeaderChar">
    <w:name w:val="Header Char"/>
    <w:basedOn w:val="DefaultParagraphFont"/>
    <w:link w:val="Header"/>
    <w:rsid w:val="00D24FA8"/>
  </w:style>
  <w:style w:type="paragraph" w:styleId="Footer">
    <w:name w:val="footer"/>
    <w:basedOn w:val="Normal"/>
    <w:link w:val="FooterChar"/>
    <w:uiPriority w:val="99"/>
    <w:unhideWhenUsed/>
    <w:rsid w:val="00D24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FA8"/>
  </w:style>
  <w:style w:type="paragraph" w:styleId="TOC1">
    <w:name w:val="toc 1"/>
    <w:basedOn w:val="Normal"/>
    <w:next w:val="Normal"/>
    <w:autoRedefine/>
    <w:uiPriority w:val="39"/>
    <w:unhideWhenUsed/>
    <w:rsid w:val="00CB716F"/>
    <w:pPr>
      <w:spacing w:after="100"/>
    </w:pPr>
  </w:style>
  <w:style w:type="character" w:styleId="Hyperlink">
    <w:name w:val="Hyperlink"/>
    <w:basedOn w:val="DefaultParagraphFont"/>
    <w:uiPriority w:val="99"/>
    <w:unhideWhenUsed/>
    <w:rsid w:val="00CB716F"/>
    <w:rPr>
      <w:color w:val="0072CE" w:themeColor="hyperlink"/>
      <w:u w:val="single"/>
    </w:rPr>
  </w:style>
  <w:style w:type="paragraph" w:styleId="TOC2">
    <w:name w:val="toc 2"/>
    <w:basedOn w:val="Normal"/>
    <w:next w:val="Normal"/>
    <w:autoRedefine/>
    <w:uiPriority w:val="39"/>
    <w:unhideWhenUsed/>
    <w:rsid w:val="00CB716F"/>
    <w:pPr>
      <w:spacing w:after="100"/>
      <w:ind w:left="220"/>
    </w:pPr>
  </w:style>
  <w:style w:type="paragraph" w:customStyle="1" w:styleId="Style1">
    <w:name w:val="Style1"/>
    <w:basedOn w:val="NoSpacing"/>
    <w:link w:val="Style1Char"/>
    <w:qFormat/>
    <w:rsid w:val="00113016"/>
    <w:pPr>
      <w:pBdr>
        <w:bottom w:val="single" w:sz="8" w:space="1" w:color="DA291C" w:themeColor="accent1"/>
      </w:pBdr>
      <w:spacing w:before="360" w:after="240" w:line="276" w:lineRule="auto"/>
    </w:pPr>
    <w:rPr>
      <w:rFonts w:ascii="Arial" w:eastAsia="Calibri" w:hAnsi="Arial" w:cs="Arial"/>
      <w:b/>
      <w:color w:val="DA291C" w:themeColor="accent1"/>
      <w:lang w:val="en-CA"/>
    </w:rPr>
  </w:style>
  <w:style w:type="character" w:customStyle="1" w:styleId="Style1Char">
    <w:name w:val="Style1 Char"/>
    <w:basedOn w:val="NoSpacingChar"/>
    <w:link w:val="Style1"/>
    <w:rsid w:val="00113016"/>
    <w:rPr>
      <w:rFonts w:ascii="Arial" w:eastAsia="Calibri" w:hAnsi="Arial" w:cs="Arial"/>
      <w:b/>
      <w:color w:val="DA291C" w:themeColor="accent1"/>
      <w:lang w:val="en-CA"/>
    </w:rPr>
  </w:style>
  <w:style w:type="paragraph" w:styleId="ListParagraph">
    <w:name w:val="List Paragraph"/>
    <w:aliases w:val="Bullet,List (a)_left,List Paragraph no indent,Numbered List Paragraph,table bullets,texte"/>
    <w:basedOn w:val="Normal"/>
    <w:link w:val="ListParagraphChar"/>
    <w:uiPriority w:val="34"/>
    <w:qFormat/>
    <w:rsid w:val="00113016"/>
    <w:pPr>
      <w:spacing w:after="200" w:line="276" w:lineRule="auto"/>
      <w:ind w:left="720"/>
      <w:contextualSpacing/>
    </w:pPr>
    <w:rPr>
      <w:rFonts w:ascii="Calibri" w:eastAsia="Calibri" w:hAnsi="Calibri"/>
      <w:lang w:val="en-CA"/>
    </w:rPr>
  </w:style>
  <w:style w:type="character" w:customStyle="1" w:styleId="ListParagraphChar">
    <w:name w:val="List Paragraph Char"/>
    <w:aliases w:val="Bullet Char,List (a)_left Char,List Paragraph no indent Char,Numbered List Paragraph Char,table bullets Char,texte Char"/>
    <w:basedOn w:val="DefaultParagraphFont"/>
    <w:link w:val="ListParagraph"/>
    <w:uiPriority w:val="34"/>
    <w:rsid w:val="00113016"/>
    <w:rPr>
      <w:rFonts w:ascii="Calibri" w:eastAsia="Calibri" w:hAnsi="Calibri"/>
      <w:lang w:val="en-CA"/>
    </w:rPr>
  </w:style>
  <w:style w:type="paragraph" w:styleId="TOC3">
    <w:name w:val="toc 3"/>
    <w:basedOn w:val="Normal"/>
    <w:next w:val="Normal"/>
    <w:autoRedefine/>
    <w:uiPriority w:val="39"/>
    <w:unhideWhenUsed/>
    <w:rsid w:val="00113016"/>
    <w:pPr>
      <w:spacing w:after="100"/>
      <w:ind w:left="440"/>
    </w:pPr>
  </w:style>
  <w:style w:type="paragraph" w:customStyle="1" w:styleId="Default">
    <w:name w:val="Default"/>
    <w:rsid w:val="00353766"/>
    <w:pPr>
      <w:autoSpaceDE w:val="0"/>
      <w:autoSpaceDN w:val="0"/>
      <w:adjustRightInd w:val="0"/>
      <w:spacing w:after="0" w:line="240" w:lineRule="auto"/>
    </w:pPr>
    <w:rPr>
      <w:rFonts w:ascii="Arial" w:eastAsia="Times New Roman" w:hAnsi="Arial" w:cs="Arial"/>
      <w:color w:val="000000"/>
      <w:sz w:val="24"/>
      <w:szCs w:val="24"/>
      <w:lang w:val="en-CA" w:eastAsia="en-CA"/>
    </w:rPr>
  </w:style>
  <w:style w:type="character" w:customStyle="1" w:styleId="UnresolvedMention">
    <w:name w:val="Unresolved Mention"/>
    <w:basedOn w:val="DefaultParagraphFont"/>
    <w:uiPriority w:val="99"/>
    <w:semiHidden/>
    <w:unhideWhenUsed/>
    <w:rsid w:val="001E649E"/>
    <w:rPr>
      <w:color w:val="605E5C"/>
      <w:shd w:val="clear" w:color="auto" w:fill="E1DFDD"/>
    </w:rPr>
  </w:style>
  <w:style w:type="paragraph" w:styleId="BodyText">
    <w:name w:val="Body Text"/>
    <w:basedOn w:val="Normal"/>
    <w:link w:val="BodyTextChar"/>
    <w:unhideWhenUsed/>
    <w:rsid w:val="004F66F2"/>
    <w:rPr>
      <w:rFonts w:ascii="Calibri" w:eastAsia="Calibri" w:hAnsi="Calibri" w:cs="Tahoma"/>
    </w:rPr>
  </w:style>
  <w:style w:type="character" w:customStyle="1" w:styleId="BodyTextChar">
    <w:name w:val="Body Text Char"/>
    <w:basedOn w:val="DefaultParagraphFont"/>
    <w:link w:val="BodyText"/>
    <w:rsid w:val="004F66F2"/>
    <w:rPr>
      <w:rFonts w:ascii="Calibri" w:eastAsia="Calibri" w:hAnsi="Calibri" w:cs="Tahoma"/>
    </w:rPr>
  </w:style>
  <w:style w:type="paragraph" w:customStyle="1" w:styleId="Heading">
    <w:name w:val="Heading"/>
    <w:basedOn w:val="Normal"/>
    <w:next w:val="BodyText"/>
    <w:qFormat/>
    <w:rsid w:val="004F66F2"/>
    <w:pPr>
      <w:keepNext/>
      <w:spacing w:before="240" w:after="120"/>
    </w:pPr>
    <w:rPr>
      <w:rFonts w:ascii="Liberation Sans" w:eastAsia="Microsoft YaHei" w:hAnsi="Liberation Sans" w:cs="Arial"/>
      <w:sz w:val="28"/>
      <w:szCs w:val="28"/>
    </w:rPr>
  </w:style>
  <w:style w:type="paragraph" w:styleId="CommentText">
    <w:name w:val="annotation text"/>
    <w:basedOn w:val="Normal"/>
    <w:link w:val="CommentTextChar"/>
    <w:semiHidden/>
    <w:unhideWhenUsed/>
    <w:qFormat/>
    <w:rsid w:val="00D305F5"/>
    <w:pPr>
      <w:spacing w:line="240" w:lineRule="auto"/>
    </w:pPr>
    <w:rPr>
      <w:rFonts w:ascii="Calibri" w:eastAsia="Calibri" w:hAnsi="Calibri" w:cs="Tahoma"/>
      <w:sz w:val="20"/>
      <w:szCs w:val="20"/>
    </w:rPr>
  </w:style>
  <w:style w:type="character" w:customStyle="1" w:styleId="CommentTextChar">
    <w:name w:val="Comment Text Char"/>
    <w:basedOn w:val="DefaultParagraphFont"/>
    <w:link w:val="CommentText"/>
    <w:semiHidden/>
    <w:rsid w:val="00D305F5"/>
    <w:rPr>
      <w:rFonts w:ascii="Calibri" w:eastAsia="Calibri" w:hAnsi="Calibri" w:cs="Tahoma"/>
      <w:sz w:val="20"/>
      <w:szCs w:val="20"/>
    </w:rPr>
  </w:style>
  <w:style w:type="character" w:styleId="CommentReference">
    <w:name w:val="annotation reference"/>
    <w:basedOn w:val="DefaultParagraphFont"/>
    <w:semiHidden/>
    <w:unhideWhenUsed/>
    <w:qFormat/>
    <w:rsid w:val="00D305F5"/>
    <w:rPr>
      <w:sz w:val="16"/>
      <w:szCs w:val="16"/>
    </w:rPr>
  </w:style>
  <w:style w:type="table" w:styleId="TableGrid">
    <w:name w:val="Table Grid"/>
    <w:basedOn w:val="TableNormal"/>
    <w:uiPriority w:val="39"/>
    <w:rsid w:val="00D305F5"/>
    <w:pPr>
      <w:spacing w:after="0" w:line="240" w:lineRule="auto"/>
    </w:pPr>
    <w:rPr>
      <w:rFonts w:ascii="Calibri" w:eastAsia="Calibri" w:hAnsi="Calibri" w:cs="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D305F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8E1D33"/>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E1D33"/>
    <w:rPr>
      <w:rFonts w:ascii="Calibri" w:eastAsia="Calibri" w:hAnsi="Calibri"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6256">
      <w:bodyDiv w:val="1"/>
      <w:marLeft w:val="0"/>
      <w:marRight w:val="0"/>
      <w:marTop w:val="0"/>
      <w:marBottom w:val="0"/>
      <w:divBdr>
        <w:top w:val="none" w:sz="0" w:space="0" w:color="auto"/>
        <w:left w:val="none" w:sz="0" w:space="0" w:color="auto"/>
        <w:bottom w:val="none" w:sz="0" w:space="0" w:color="auto"/>
        <w:right w:val="none" w:sz="0" w:space="0" w:color="auto"/>
      </w:divBdr>
      <w:divsChild>
        <w:div w:id="993139840">
          <w:marLeft w:val="0"/>
          <w:marRight w:val="0"/>
          <w:marTop w:val="0"/>
          <w:marBottom w:val="0"/>
          <w:divBdr>
            <w:top w:val="single" w:sz="2" w:space="0" w:color="000000"/>
            <w:left w:val="single" w:sz="2" w:space="0" w:color="000000"/>
            <w:bottom w:val="single" w:sz="2" w:space="0" w:color="000000"/>
            <w:right w:val="single" w:sz="2" w:space="0" w:color="000000"/>
          </w:divBdr>
        </w:div>
        <w:div w:id="16379471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5070639">
      <w:bodyDiv w:val="1"/>
      <w:marLeft w:val="0"/>
      <w:marRight w:val="0"/>
      <w:marTop w:val="0"/>
      <w:marBottom w:val="0"/>
      <w:divBdr>
        <w:top w:val="none" w:sz="0" w:space="0" w:color="auto"/>
        <w:left w:val="none" w:sz="0" w:space="0" w:color="auto"/>
        <w:bottom w:val="none" w:sz="0" w:space="0" w:color="auto"/>
        <w:right w:val="none" w:sz="0" w:space="0" w:color="auto"/>
      </w:divBdr>
    </w:div>
    <w:div w:id="1721705065">
      <w:bodyDiv w:val="1"/>
      <w:marLeft w:val="0"/>
      <w:marRight w:val="0"/>
      <w:marTop w:val="0"/>
      <w:marBottom w:val="0"/>
      <w:divBdr>
        <w:top w:val="none" w:sz="0" w:space="0" w:color="auto"/>
        <w:left w:val="none" w:sz="0" w:space="0" w:color="auto"/>
        <w:bottom w:val="none" w:sz="0" w:space="0" w:color="auto"/>
        <w:right w:val="none" w:sz="0" w:space="0" w:color="auto"/>
      </w:divBdr>
      <w:divsChild>
        <w:div w:id="446588407">
          <w:marLeft w:val="0"/>
          <w:marRight w:val="0"/>
          <w:marTop w:val="0"/>
          <w:marBottom w:val="0"/>
          <w:divBdr>
            <w:top w:val="single" w:sz="2" w:space="0" w:color="000000"/>
            <w:left w:val="single" w:sz="2" w:space="0" w:color="000000"/>
            <w:bottom w:val="single" w:sz="2" w:space="0" w:color="000000"/>
            <w:right w:val="single" w:sz="2" w:space="0" w:color="000000"/>
          </w:divBdr>
        </w:div>
        <w:div w:id="1795757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way.ca/" TargetMode="External"/><Relationship Id="rId13" Type="http://schemas.openxmlformats.org/officeDocument/2006/relationships/hyperlink" Target="https://www.redcross.ca/how-we-help/current-emergency-responses/covid-19-%e2%80%93-novel-coronavirus/information-for-community-organizations-affected-by-covid-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yfoundations.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kl-unitedway.ca/cov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dcross.ca/" TargetMode="External"/><Relationship Id="rId4" Type="http://schemas.openxmlformats.org/officeDocument/2006/relationships/settings" Target="settings.xml"/><Relationship Id="rId9" Type="http://schemas.openxmlformats.org/officeDocument/2006/relationships/hyperlink" Target="http://www.communityfoundations.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WCC-One">
  <a:themeElements>
    <a:clrScheme name="United Way Centraide">
      <a:dk1>
        <a:sysClr val="windowText" lastClr="000000"/>
      </a:dk1>
      <a:lt1>
        <a:sysClr val="window" lastClr="FFFFFF"/>
      </a:lt1>
      <a:dk2>
        <a:srgbClr val="44546A"/>
      </a:dk2>
      <a:lt2>
        <a:srgbClr val="E7E6E6"/>
      </a:lt2>
      <a:accent1>
        <a:srgbClr val="DA291C"/>
      </a:accent1>
      <a:accent2>
        <a:srgbClr val="DA291C"/>
      </a:accent2>
      <a:accent3>
        <a:srgbClr val="DA291C"/>
      </a:accent3>
      <a:accent4>
        <a:srgbClr val="DA291C"/>
      </a:accent4>
      <a:accent5>
        <a:srgbClr val="DA291C"/>
      </a:accent5>
      <a:accent6>
        <a:srgbClr val="DA291C"/>
      </a:accent6>
      <a:hlink>
        <a:srgbClr val="0072CE"/>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May 13, 2020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EMERGENCY COMMUNITY SUPPORT FUND</vt:lpstr>
    </vt:vector>
  </TitlesOfParts>
  <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COMMUNITY SUPPORT FUND</dc:title>
  <dc:subject/>
  <dc:creator>Amplification package for United Way Centraides</dc:creator>
  <cp:keywords/>
  <dc:description/>
  <cp:lastModifiedBy>Evelyn Chambers</cp:lastModifiedBy>
  <cp:revision>2</cp:revision>
  <cp:lastPrinted>2020-05-14T14:52:00Z</cp:lastPrinted>
  <dcterms:created xsi:type="dcterms:W3CDTF">2020-05-19T13:43:00Z</dcterms:created>
  <dcterms:modified xsi:type="dcterms:W3CDTF">2020-05-19T13:43:00Z</dcterms:modified>
</cp:coreProperties>
</file>